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54,381,607 shares of Common Stock, $0.001 par value per share, as of October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165,192</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41,721</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121,050</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59,416</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387,379</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2,775,579</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3,162,958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400,418</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4,389,428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4,236,132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180,193</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2,694,842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2,765,135</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2,945,328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51,350</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3,132,653</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2025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30, 2025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2025 and September 30, 2025;</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55,366 shares issued and outstanding at June 30, 2025 and 54,376 shares issued and outstanding at</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30, 2025</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148,581</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948,574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1,103,479</w:t>
            </w: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4,236,132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6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333,105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378,858</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128,380</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247,996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279,792</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96,368</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55,607</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205,581</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56,266</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55,859</w:t>
            </w:r>
          </w:p>
        </w:tc>
      </w:tr>
      <w:tr>
        <w:trPr>
          <w:trHeight w:val="21"/>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4160" w:type="dxa"/>
            <w:vAlign w:val="bottom"/>
          </w:tcPr>
          <w:p>
            <w:pPr>
              <w:spacing w:after="0"/>
              <w:rPr>
                <w:sz w:val="24"/>
                <w:szCs w:val="24"/>
                <w:color w:val="auto"/>
              </w:rPr>
            </w:pPr>
          </w:p>
        </w:tc>
        <w:tc>
          <w:tcPr>
            <w:tcW w:w="1900" w:type="dxa"/>
            <w:vAlign w:val="bottom"/>
            <w:gridSpan w:val="8"/>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3"/>
        </w:trPr>
        <w:tc>
          <w:tcPr>
            <w:tcW w:w="4160" w:type="dxa"/>
            <w:vAlign w:val="bottom"/>
          </w:tcPr>
          <w:p>
            <w:pPr>
              <w:spacing w:after="0"/>
              <w:rPr>
                <w:sz w:val="10"/>
                <w:szCs w:val="10"/>
                <w:color w:val="auto"/>
              </w:rPr>
            </w:pPr>
          </w:p>
        </w:tc>
        <w:tc>
          <w:tcPr>
            <w:tcW w:w="190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360,488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673,456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1,033,064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settlement for taxes and/or exercise price related to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(24,358)</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gains on securities, net of tax</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723,029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4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13"/>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4160" w:type="dxa"/>
            <w:vAlign w:val="bottom"/>
          </w:tcPr>
          <w:p>
            <w:pPr>
              <w:spacing w:after="0"/>
              <w:rPr>
                <w:sz w:val="24"/>
                <w:szCs w:val="24"/>
                <w:color w:val="auto"/>
              </w:rPr>
            </w:pPr>
          </w:p>
        </w:tc>
        <w:tc>
          <w:tcPr>
            <w:tcW w:w="1900" w:type="dxa"/>
            <w:vAlign w:val="bottom"/>
            <w:gridSpan w:val="8"/>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4160" w:type="dxa"/>
            <w:vAlign w:val="bottom"/>
          </w:tcPr>
          <w:p>
            <w:pPr>
              <w:spacing w:after="0"/>
              <w:rPr>
                <w:sz w:val="10"/>
                <w:szCs w:val="10"/>
                <w:color w:val="auto"/>
              </w:rPr>
            </w:pPr>
          </w:p>
        </w:tc>
        <w:tc>
          <w:tcPr>
            <w:tcW w:w="190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327,518</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900,583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1,233,747</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settlement for taxes related to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(18,723)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(18,723)</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(201,715)</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(201,716)</w:t>
            </w: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gains on securities, net of tax</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948,574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1,103,479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27,453</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(18,357)</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32,358</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(17,693)</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70,293</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(18,723)</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(318,293)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(229,692)</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(160,929)</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2,482,526</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2,605,503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2,321,597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capitalized internal-use software, accrued but not paid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778,549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165,192</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1,826,954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2,156,405</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2,605,503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2,321,597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HR, finance and IT software solutions that deliver a comprehensive platform for the modern workforce. Services are provided in a Software-as-a-Service (“SaaS”) delivery model. The Company offers an intuitive, easy-to-use product suite that helps businesses automate and streamline HR, finance and IT processes, attract and retain talent, and build culture and connection with their employees.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62"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20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4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2025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2025 included in the Company’s Annual Report on Form 10-K.</w:t>
      </w:r>
    </w:p>
    <w:p>
      <w:pPr>
        <w:spacing w:after="0" w:line="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While adoption of this ASU is not expected to have a material effect on the Company's consolidated financial condition, results of operations or cash flows, it will result in expanded income tax disclosures beginning with the Company's Annual Report on Form 10-K for the fiscal year ended June 30, 2026.</w:t>
      </w:r>
    </w:p>
    <w:p>
      <w:pPr>
        <w:spacing w:after="0" w:line="16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4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Targeted Improvements to the Accounting for Internal-Use Software ("ASU 2025-06"). ASU 2025-06 removes all references to software development stages in existing guidance and, instead, requires the capitalization of software development costs when the Company's management has authorized and committed to funding a project and it is probable the project will be completed and the software will be used to perform its intended function. This ASU may be applied on a prospective, retrospective or on a modified transition basis based on project and capitalization status before the adoption date. This ASU is effective for all fiscal years beginning after December 15, 2027 and interim periods beginning within those annual reporting periods, with early adoption permitted as of the beginning of an annual reporting period. The Company is currently assessing the impact of this ASU on its consolidated financial statements and is evaluating the method and timing of adoption.</w:t>
      </w:r>
    </w:p>
    <w:p>
      <w:pPr>
        <w:spacing w:after="0" w:line="1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substantially all of its revenue from contracts from recurring service fees. While the majority of its agreements are generally cancellable by the client on 60 days’ notice or less, the Company also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 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 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6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3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7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as follows: $21,494 in fiscal 2026, $7,247 in fiscal 2027 and $1,177 in fiscal 2028 and thereafter.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56" w:lineRule="exact"/>
        <w:rPr>
          <w:sz w:val="20"/>
          <w:szCs w:val="20"/>
          <w:color w:val="auto"/>
        </w:rPr>
      </w:pPr>
    </w:p>
    <w:p>
      <w:pPr>
        <w:ind w:right="320" w:firstLine="648"/>
        <w:spacing w:after="0" w:line="277" w:lineRule="auto"/>
        <w:rPr>
          <w:sz w:val="20"/>
          <w:szCs w:val="20"/>
          <w:color w:val="auto"/>
        </w:rPr>
      </w:pPr>
      <w:r>
        <w:rPr>
          <w:rFonts w:ascii="Times New Roman" w:cs="Times New Roman" w:eastAsia="Times New Roman" w:hAnsi="Times New Roman"/>
          <w:sz w:val="17"/>
          <w:szCs w:val="17"/>
          <w:color w:val="auto"/>
        </w:rPr>
        <w:t>The Company utilizes the portfolio approach to account for both the cost of obtaining a contract and the cost of fulfilling a contract. These capitalized costs are amortized over the expected period of benefit, which has been determined to be generally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255,023</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204,549</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287,437</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234,031</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$153,287 as of September 30, 2025,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5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 disclosed below using the acquisition method of accounting and recognized assets and liabilities at their fair values as of the date of acquisitions, with the excess recorded to goodwill.</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Airbase Inc. ("Airbase") for cash consideration of $320,205, net of cash acquired and preliminary purchase price adjustments, which was funded by borrowings under its credit facility. Refer to Note 8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for Airbase was as follows, which reflects certain immaterial measurement period adjustments recorded during the three months ended September 30,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234,295</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fund obligations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Company’s fair value estimate of the acquired proprietary technology is based on a relief from royalty rate methodology which includes but is not limited to forecasted revenue growth rates, royalty rates, technology migration rates and required rate of return.</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transaction. The goodwill related to this transaction is primarily attributable to the assembled workforce and growth opportunities from the expansion and enhancement of the Company’s product offerings and is not deductible for income tax purposes. Direct costs related to the acquisition were not material and were expensed as incurred as General and administrative expense in the Unaudited Consolidated Statements of Operations and Comprehensive Income.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information below summarizes the combined results of the Company and Airbase as if the Company’s acquisition of Airbase closed on July 1, 2023, but does not necessarily reflect the combined actual results of operations of the Company and Airbase that would have been achieved, nor is it necessarily indicative of future results of operations. The unaudited pro forma information reflects certain adjustments that were directly attributable to the acquisition of Airbase, including amortization of acquired intangible assets, interest expense incurred to fund the acquisition and acquisition related costs.</w:t>
      </w:r>
    </w:p>
    <w:p>
      <w:pPr>
        <w:spacing w:after="0" w:line="18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408,172</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60" w:hanging="1027"/>
        <w:spacing w:after="0"/>
        <w:tabs>
          <w:tab w:leader="none" w:pos="2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2,837</w:t>
      </w:r>
    </w:p>
    <w:p>
      <w:pPr>
        <w:spacing w:after="0" w:line="49" w:lineRule="exact"/>
        <w:rPr>
          <w:rFonts w:ascii="Times New Roman" w:cs="Times New Roman" w:eastAsia="Times New Roman" w:hAnsi="Times New Roman"/>
          <w:sz w:val="18"/>
          <w:szCs w:val="18"/>
          <w:color w:val="auto"/>
        </w:rPr>
      </w:pPr>
    </w:p>
    <w:p>
      <w:pPr>
        <w:ind w:left="2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26035</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2160" w:hanging="1027"/>
        <w:spacing w:after="0"/>
        <w:tabs>
          <w:tab w:leader="none" w:pos="2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26035</wp:posOffset>
            </wp:positionV>
            <wp:extent cx="942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51435</wp:posOffset>
            </wp:positionV>
            <wp:extent cx="9429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6"/>
          <w:szCs w:val="16"/>
          <w:b w:val="1"/>
          <w:bCs w:val="1"/>
          <w:color w:val="auto"/>
        </w:rPr>
        <w:t>June 30,</w:t>
      </w:r>
      <w:r>
        <w:rPr>
          <w:sz w:val="20"/>
          <w:szCs w:val="20"/>
          <w:color w:val="auto"/>
        </w:rPr>
        <w:tab/>
      </w:r>
      <w:r>
        <w:rPr>
          <w:rFonts w:ascii="Times New Roman" w:cs="Times New Roman" w:eastAsia="Times New Roman" w:hAnsi="Times New Roman"/>
          <w:sz w:val="16"/>
          <w:szCs w:val="16"/>
          <w:b w:val="1"/>
          <w:bCs w:val="1"/>
          <w:color w:val="auto"/>
        </w:rPr>
        <w:t>September 30,</w:t>
      </w:r>
    </w:p>
    <w:p>
      <w:pPr>
        <w:spacing w:after="0" w:line="25"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8" w:lineRule="exact"/>
        <w:rPr>
          <w:sz w:val="20"/>
          <w:szCs w:val="20"/>
          <w:color w:val="auto"/>
        </w:rPr>
      </w:pPr>
    </w:p>
    <w:p>
      <w:pPr>
        <w:sectPr>
          <w:pgSz w:w="11900" w:h="16838" w:orient="portrait"/>
          <w:cols w:equalWidth="0" w:num="2">
            <w:col w:w="7920" w:space="720"/>
            <w:col w:w="2600"/>
          </w:cols>
          <w:pgMar w:left="320" w:top="256" w:right="339" w:bottom="1440" w:gutter="0" w:footer="0" w:header="0"/>
        </w:sectPr>
      </w:pPr>
    </w:p>
    <w:tbl>
      <w:tblPr>
        <w:tblLayout w:type="fixed"/>
        <w:tblInd w:w="0" w:type="dxa"/>
        <w:tblCellMar>
          <w:top w:w="0" w:type="dxa"/>
          <w:left w:w="0" w:type="dxa"/>
          <w:bottom w:w="0" w:type="dxa"/>
          <w:right w:w="0" w:type="dxa"/>
        </w:tblCellMar>
      </w:tblPr>
      <w:tr>
        <w:trPr>
          <w:trHeight w:val="26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400,122</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418,776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(267,805)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(285,055)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132,317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133,721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$13,777 and $17,250 for the three months ended September 30, 2024 and 2025,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(107,878)</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amounted to $5,228 and $4,942 for the three months ended September 30, 2024 and 2025, respectively.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three months ended September 30,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343,100</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$2,547 and $5,261 for the three months ended September 30, 2024 and 2025, respectively, and is included in Cost of revenues and General and administrative.</w:t>
      </w:r>
    </w:p>
    <w:p>
      <w:pPr>
        <w:sectPr>
          <w:pgSz w:w="11900" w:h="16838" w:orient="portrait"/>
          <w:cols w:equalWidth="0" w:num="1">
            <w:col w:w="11240"/>
          </w:cols>
          <w:pgMar w:left="320" w:top="256" w:right="339" w:bottom="1440" w:gutter="0" w:footer="0" w:header="0"/>
        </w:sectPr>
      </w:pP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amortization expense for acquired intangible assets as of September 30,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Remainder of fiscal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2028</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2030</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2020" w:hanging="907"/>
        <w:spacing w:after="0"/>
        <w:tabs>
          <w:tab w:leader="none" w:pos="2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15,371</w:t>
      </w:r>
    </w:p>
    <w:p>
      <w:pPr>
        <w:spacing w:after="0" w:line="61"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18,256</w:t>
      </w:r>
    </w:p>
    <w:p>
      <w:pPr>
        <w:spacing w:after="0" w:line="61"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16,391</w:t>
      </w:r>
    </w:p>
    <w:p>
      <w:pPr>
        <w:spacing w:after="0" w:line="61"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12,925</w:t>
      </w:r>
    </w:p>
    <w:p>
      <w:pPr>
        <w:spacing w:after="0" w:line="61"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11,038</w:t>
      </w:r>
    </w:p>
    <w:p>
      <w:pPr>
        <w:spacing w:after="0" w:line="61"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13,429</w:t>
      </w:r>
    </w:p>
    <w:p>
      <w:pPr>
        <w:spacing w:after="0" w:line="75" w:lineRule="exact"/>
        <w:rPr>
          <w:sz w:val="20"/>
          <w:szCs w:val="20"/>
          <w:color w:val="auto"/>
        </w:rPr>
      </w:pPr>
    </w:p>
    <w:p>
      <w:pPr>
        <w:ind w:left="2020" w:hanging="907"/>
        <w:spacing w:after="0"/>
        <w:tabs>
          <w:tab w:leader="none" w:pos="2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59055</wp:posOffset>
            </wp:positionV>
            <wp:extent cx="942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4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106,808</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89,666</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38,571</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37,887</w:t>
            </w:r>
          </w:p>
        </w:tc>
        <w:tc>
          <w:tcPr>
            <w:tcW w:w="0" w:type="dxa"/>
            <w:vAlign w:val="bottom"/>
          </w:tcPr>
          <w:p>
            <w:pPr>
              <w:spacing w:after="0"/>
              <w:rPr>
                <w:sz w:val="1"/>
                <w:szCs w:val="1"/>
                <w:color w:val="auto"/>
              </w:rPr>
            </w:pPr>
          </w:p>
        </w:tc>
      </w:tr>
      <w:tr>
        <w:trPr>
          <w:trHeight w:val="27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4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0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and Cash Equivalents and Funds Held for Clients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612,101</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3,094,627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2,156,405</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381,452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31,726</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610,603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619,174</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2,932,200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2,940,771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2025 and September 30, 2025.</w:t>
      </w:r>
    </w:p>
    <w:p>
      <w:pPr>
        <w:spacing w:after="0" w:line="18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at June 30, 2025 and September 30,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165,192</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4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2,704,137</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2,775,579</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2,940,771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had fair market value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80" w:type="dxa"/>
            <w:vAlign w:val="bottom"/>
          </w:tcPr>
          <w:p>
            <w:pPr>
              <w:spacing w:after="0"/>
              <w:rPr>
                <w:sz w:val="16"/>
                <w:szCs w:val="16"/>
                <w:color w:val="auto"/>
              </w:rPr>
            </w:pP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88,477</w:t>
            </w:r>
          </w:p>
        </w:tc>
        <w:tc>
          <w:tcPr>
            <w:tcW w:w="100" w:type="dxa"/>
            <w:vAlign w:val="bottom"/>
          </w:tcPr>
          <w:p>
            <w:pPr>
              <w:spacing w:after="0"/>
              <w:rPr>
                <w:sz w:val="16"/>
                <w:szCs w:val="16"/>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6"/>
                <w:szCs w:val="16"/>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tcPr>
          <w:p>
            <w:pPr>
              <w:spacing w:after="0"/>
              <w:rPr>
                <w:sz w:val="16"/>
                <w:szCs w:val="16"/>
                <w:color w:val="auto"/>
              </w:rPr>
            </w:pPr>
          </w:p>
        </w:tc>
        <w:tc>
          <w:tcPr>
            <w:tcW w:w="5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100,702</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80" w:type="dxa"/>
            <w:vAlign w:val="bottom"/>
          </w:tcPr>
          <w:p>
            <w:pPr>
              <w:spacing w:after="0"/>
              <w:rPr>
                <w:sz w:val="16"/>
                <w:szCs w:val="16"/>
                <w:color w:val="auto"/>
              </w:rPr>
            </w:pP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100" w:type="dxa"/>
            <w:vAlign w:val="bottom"/>
          </w:tcPr>
          <w:p>
            <w:pPr>
              <w:spacing w:after="0"/>
              <w:rPr>
                <w:sz w:val="16"/>
                <w:szCs w:val="16"/>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6"/>
                <w:szCs w:val="16"/>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16"/>
                <w:szCs w:val="16"/>
                <w:color w:val="auto"/>
              </w:rPr>
            </w:pPr>
          </w:p>
        </w:tc>
        <w:tc>
          <w:tcPr>
            <w:tcW w:w="5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months ended September 30, 2024 or 2025. All securities in the Company’s portfolio held an A-1 rating or better as of September 30, 2025.</w:t>
      </w:r>
    </w:p>
    <w:p>
      <w:pPr>
        <w:spacing w:after="0" w:line="14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months ended September 30, 2024 or 2025. There were no realized gains or losses on the sale of available-for-sale securities for the three months ended September 30, 2024 or 2025.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September 30,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226,515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years and thereafter</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610,603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619,174</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used to measure fair value. The hierarchy requires entities to maximize the use of observable inputs and minimize the use of unobservable inputs. The three levels of inputs used to measure fair value are as follows:</w:t>
      </w:r>
    </w:p>
    <w:p>
      <w:pPr>
        <w:spacing w:after="0" w:line="12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98"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cash and cash equivalents, funds held for clients' cash and cash equivalents, accounts receivable, accounts payable and client fund obligations at fair value on a recurring basis using Level 1 inputs and borrowings on its credit facility using Level 2 inputs. The Company considers the recorded value of these financial assets and liabilities to approximate the fair value of the respective assets and liabilities at June 30, 2025 and September 30, 2025 based upon the short-term nature of these assets and liabilities.</w:t>
      </w:r>
    </w:p>
    <w:p>
      <w:pPr>
        <w:spacing w:after="0" w:line="15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may include commercial paper, corporate bonds, asset-backed securities, certificates of deposit,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2025 or September 30, 2025.</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levels for the Company’s cash and cash equivalents and available-for-sale securities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2,482,526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2,940,771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2,321,597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619,174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 using Level 3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outstanding borrowings will mature and be payable upon expiration. During fiscal 2025, the Company borrowed $325,000 to fund the acquisition of Airbase Inc. in October 2024, of which it repaid $162,500 in the second half of fiscal 2025. The Company repaid an additional $81,250 during the three months ended September 30, 2025. As a result, $81,250 remained outstanding at September 30, 2025. Refer to Note 4 for further details on the Company's acquisition of Airbase Inc.</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share repurchases and permitted acquisitions, investments, and distributions.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3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Any borrowings under the credit facility will bear interest, at the Company’s option, at a rate per annum determined by reference to either the Term Secured Overnight Financing Rate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2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September 30, 2025, the Company was in compliance with all of the aforementioned covenants.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maintained a 2014 Equity Incentive Plan (the “2014 Plan”) and continues to maintain a 2023 Equity Incentive Plan (the “2023 Plan”). The 2023 Plan serves as the successor to the 2014 Plan and permits the granting of restricted stock units ("RSUs"), performance stock units ("PSUs"), market stock units ("MSUs") and other equity incentives at the discretion of the compensation committee of the Company’s board of directors ("Committee"). No new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awards have been or will be issued under the 2014 Plan since the effective date of the 2023 Plan. Outstanding awards under the 2014 Plan continue to be subject to the terms and conditions of the 2014 Plan.</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1,008 shares available for future grant under the 2023 Plan, and 2,110 shares were subject to outstanding awards. Generally, the Company issues previously unissued shares for the vesting of awards; however, shares previously subject to 2023 Plan grants or awards that are forfeited or net settled at exercise or release may be reissued to satisfy future issuances.</w:t>
      </w:r>
    </w:p>
    <w:p>
      <w:pPr>
        <w:spacing w:after="0" w:line="14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PSUs, MSUs and the Company's Employee Stock Purchase Plan is included in the following line items in the accompanying Unaudited Consolidated Statements of Operations and Comprehensive Income:</w:t>
      </w:r>
    </w:p>
    <w:p>
      <w:pPr>
        <w:spacing w:after="0" w:line="15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10,210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33,540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$3,831 and $2,916 of stock-based compensation expense in its capitalized internal-use software costs in the three months ended September 30, 2024 and 2025, respectively.</w:t>
      </w:r>
    </w:p>
    <w:p>
      <w:pPr>
        <w:spacing w:after="0" w:line="12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2023 Plan with terms determined at the discretion of the Committee. RSUs are time-based awards that generally vest over four years following the grant date.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RSU activity during the three months ended September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172.08</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169.89</w:t>
            </w:r>
          </w:p>
        </w:tc>
      </w:tr>
      <w:tr>
        <w:trPr>
          <w:trHeight w:val="276"/>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September 30,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also grants PSUs under the 2023 Plan with terms determined at the discretion of the Committee. The actual number of PSUs that will be eligible to vest is based on the achievement of Recurring and other revenue targets over a one year period with vesting taking place annually over three years. Up to 200% of the target number of shares subject to each PSU are eligible to be earned.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PSU activity during the three months ended September 30,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balance at July 1, 2025</w:t>
            </w:r>
          </w:p>
        </w:tc>
        <w:tc>
          <w:tcPr>
            <w:tcW w:w="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vested</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w:t>
            </w:r>
          </w:p>
        </w:tc>
      </w:tr>
      <w:tr>
        <w:trPr>
          <w:trHeight w:val="257"/>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 balance at September 30, 2025</w:t>
            </w: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w:t>
            </w:r>
          </w:p>
        </w:tc>
      </w:tr>
      <w:tr>
        <w:trPr>
          <w:trHeight w:val="20"/>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also grants MSUs under the 2023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approximately three years. The MSUs vest at the end of each TSR measurement period, and up to 200% of the target number of shares subject to each MSU are eligible to be earned.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MSU activity during the three months ended September 30,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r>
      <w:tr>
        <w:trPr>
          <w:trHeight w:val="26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391.85</w:t>
            </w:r>
          </w:p>
        </w:tc>
      </w:tr>
      <w:tr>
        <w:trPr>
          <w:trHeight w:val="277"/>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September 30,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3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2100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5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89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r>
    </w:tbl>
    <w:p>
      <w:pPr>
        <w:spacing w:after="0" w:line="25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2025, there was $205,435 of total unrecognized compensation cost, net of estimated forfeitures, related to unvested RSUs, PSUs and MSUs. That cost is expected to be recognized over a weighted average period of 1.8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On May 21, 2025, the plaintiff filed a notice of appeal. The Company will continue to vigorously defend against this lawsuit on appeal.</w:t>
      </w:r>
    </w:p>
    <w:p>
      <w:pPr>
        <w:spacing w:after="0" w:line="1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Company is subject to litigation arising in the ordinary course of business. Many of these matters are covered in whole or in part by insurance. In the opinion of the Company’s management, the ultimate disposition of any of these matters that are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35" w:lineRule="exact"/>
        <w:rPr>
          <w:sz w:val="20"/>
          <w:szCs w:val="20"/>
          <w:color w:val="auto"/>
        </w:rPr>
      </w:pPr>
    </w:p>
    <w:p>
      <w:pPr>
        <w:jc w:val="both"/>
        <w:ind w:right="160" w:firstLine="648"/>
        <w:spacing w:after="0" w:line="281" w:lineRule="auto"/>
        <w:rPr>
          <w:sz w:val="20"/>
          <w:szCs w:val="20"/>
          <w:color w:val="auto"/>
        </w:rPr>
      </w:pPr>
      <w:r>
        <w:rPr>
          <w:rFonts w:ascii="Times New Roman" w:cs="Times New Roman" w:eastAsia="Times New Roman" w:hAnsi="Times New Roman"/>
          <w:sz w:val="17"/>
          <w:szCs w:val="17"/>
          <w:color w:val="auto"/>
        </w:rPr>
        <w:t>The Company's effective tax rate was 28.0% and 35.9% for the three months ended September 30, 2024 and 2025, respectively. The Company's effective tax rate for the three months ended September 30, 2024 was higher than the federal statutory rate of 21% primarily due to state and local income taxes. The Company's effective tax rate for the three months ended September 30, 2025 was higher than the federal statutory rate of 21% primarily due to stock-based compensation shortfalls realized, state and local income taxes and an increase to the valuation allowance as explained below.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most significant provision applicable to the Company relates to accelerated tax deductions for qualified property and research expenditures. As a result of this provision, deferred tax assets and liabilities and income tax payables and receivables were impacted starting in fiscal 2026 and the Company expects cash tax benefits due to lower cash tax payments throughout fiscal 2026. Furthermore, the Company evaluated the impacts of the Act on certain state tax attributes and has determined that a valuation allowance is needed to reflect the realizability of those assets based on current federal and state law as of September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RSUs, PSUs and MSUs as of the balance sheet date. The following table presents the calculation of basic and diluted net income per share:</w:t>
      </w:r>
    </w:p>
    <w:p>
      <w:pPr>
        <w:spacing w:after="0" w:line="19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49,573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47,991</w:t>
            </w:r>
          </w:p>
        </w:tc>
      </w:tr>
      <w:tr>
        <w:trPr>
          <w:trHeight w:val="277"/>
        </w:trPr>
        <w:tc>
          <w:tcPr>
            <w:tcW w:w="8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options, RSUs, PSUs and MSUs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5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56,266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55,859</w:t>
            </w:r>
          </w:p>
        </w:tc>
      </w:tr>
      <w:tr>
        <w:trPr>
          <w:trHeight w:val="270"/>
        </w:trPr>
        <w:tc>
          <w:tcPr>
            <w:tcW w:w="8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performance stock units and market stock units as of September 30, 2024 and 2025 that were excluded from the diluted per share calculation for the periods presented because to include them would have been antidilutive:</w:t>
      </w:r>
    </w:p>
    <w:p>
      <w:pPr>
        <w:spacing w:after="0" w:line="16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gridSpan w:val="2"/>
          </w:tcPr>
          <w:p>
            <w:pPr>
              <w:ind w:left="87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w:t>
            </w: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2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Company determined that it operates as one reportable segment and derives revenues from customers by providing its HR, finance and IT software solutions. The Company’s chief operating decision maker (“CODM”) is its president and chief executive officer. The CODM utilizes consolidated net income and certain non-GAAP measures, including adjusted EBITDA, along with other information contained in the consolidated financial statements to assess the Company’s performance and guide decisions on allocation of resources. The segment’s total assets are reported on the consolidated balance sheet.</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significant expenses and other segment items as included in consolidated net income:</w:t>
      </w:r>
    </w:p>
    <w:p>
      <w:pPr>
        <w:spacing w:after="0" w:line="24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80" w:firstLine="648"/>
        <w:spacing w:after="0" w:line="266" w:lineRule="auto"/>
        <w:rPr>
          <w:sz w:val="20"/>
          <w:szCs w:val="20"/>
          <w:color w:val="auto"/>
        </w:rPr>
      </w:pPr>
      <w:r>
        <w:rPr>
          <w:rFonts w:ascii="Times New Roman" w:cs="Times New Roman" w:eastAsia="Times New Roman" w:hAnsi="Times New Roman"/>
          <w:sz w:val="18"/>
          <w:szCs w:val="18"/>
          <w:color w:val="auto"/>
        </w:rPr>
        <w:t>Other segment items primarily include amortization of capitalized internal-use software and acquired intangible assets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2025 filed with the SEC on August 6,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are a leading cloud-based provider of HR, finance and IT software solutions that deliver a comprehensive platform for the modern workforce. Our platform offers an intuitive, easy-to-use product suite that helps businesses automate and streamline HR, finance and IT processes, attract and retain talent, and build culture and connection with their employees. We are expanding the spend management capabilities of our platform beyond expense management to include accounts payable automation, corporate cards, and procurement capabilities through the acquisition of Airbase Inc. in October 2024. This integrated platform will enable HR and finance leaders to manage all their spend, including payroll, on a single platform.</w:t>
      </w:r>
    </w:p>
    <w:p>
      <w:pPr>
        <w:spacing w:after="0" w:line="14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Effective management of human capital and business-related spend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44" w:lineRule="exact"/>
        <w:rPr>
          <w:sz w:val="20"/>
          <w:szCs w:val="20"/>
          <w:color w:val="auto"/>
        </w:rPr>
      </w:pPr>
    </w:p>
    <w:p>
      <w:pPr>
        <w:ind w:right="60" w:firstLine="177"/>
        <w:spacing w:after="0" w:line="239"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57"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5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$363.0 million for the three months ended September 30, 2024 to $408.2 million for the three months ended September 30, 2025, representing a 12% year-over-year increase. The increase in year-over-year revenue growth was driven by the strong performance by our sales team.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in each case as determined in accordance with GAAP. In addition, our definition of Adjusted Gross Profit and Adjusted EBITDA may be different than the definition utilized for similarly-titled measures used by other companies.</w:t>
      </w:r>
    </w:p>
    <w:p>
      <w:pPr>
        <w:spacing w:after="0" w:line="150"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described below. We define Adjusted EBITDA as net income before interest expense, income tax expense, depreciation and amortization expense, stock-based compensation expense and employer payroll taxes related to stock releases and option exercises and other items as described below.</w:t>
      </w:r>
    </w:p>
    <w:p>
      <w:pPr>
        <w:spacing w:after="0" w:line="19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247,996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 option exercises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268,682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1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27,453</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 option exercises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8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680" w:hanging="652"/>
        <w:spacing w:after="0" w:line="261"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 and severance cost adjustments related to certain roles that have been eliminated. We exclude one-off severance costs that we incur as part of the normal course of our business operations.</w:t>
      </w:r>
    </w:p>
    <w:p>
      <w:pPr>
        <w:ind w:left="660" w:right="380" w:hanging="652"/>
        <w:spacing w:after="0" w:line="260"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transaction-related costs and severance costs related to certain roles that have been eliminated. We exclude one-off severance costs that we incur as part of the normal course of our business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software solutions, which are recurring in nature. Recurring fees for each client generally include a base fee in addition to a fee based on the number of client employees and the number of products a client uses. We also charge fees for our preparation of W-2 documents and annual required filings on behalf of our clients. We charge implementation fees for professional services provided to implement our software solutions.</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necessarily a good indicator of our financial results in any given period. Recurring and other revenue accounted for 92% and 93% of our total revenues for the three months ended September 30, 2024 and 2025, respectively.</w:t>
      </w:r>
    </w:p>
    <w:p>
      <w:pPr>
        <w:spacing w:after="0" w:line="15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from clients in advance of performing payroll, payroll tax filing and spend management services on behalf of those clients. Until these funds are remitted to the respective payees,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employee-related expenses, including wages, stock-based compensation, bonuses and benefits, relating to the provision of ongoing client support and implementation activities, payroll tax filing,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generally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43" w:lineRule="exact"/>
        <w:rPr>
          <w:sz w:val="20"/>
          <w:szCs w:val="20"/>
          <w:color w:val="auto"/>
        </w:rPr>
      </w:pPr>
    </w:p>
    <w:p>
      <w:pPr>
        <w:ind w:right="540" w:firstLine="648"/>
        <w:spacing w:after="0" w:line="312" w:lineRule="auto"/>
        <w:rPr>
          <w:sz w:val="20"/>
          <w:szCs w:val="20"/>
          <w:color w:val="auto"/>
        </w:rPr>
      </w:pPr>
      <w:r>
        <w:rPr>
          <w:rFonts w:ascii="Times New Roman" w:cs="Times New Roman" w:eastAsia="Times New Roman" w:hAnsi="Times New Roman"/>
          <w:sz w:val="17"/>
          <w:szCs w:val="17"/>
          <w:color w:val="auto"/>
        </w:rPr>
        <w:t>We also capitalize a portion of our internal-use software costs, which are then primarily amortized as Cost of revenues. We amortized $13.8 million and $17.3 million of capitalized internal-use software costs during the three months ended September 30, 2024 and 2025,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generally amortize them over a period of 7 years.</w:t>
      </w:r>
    </w:p>
    <w:p>
      <w:pPr>
        <w:spacing w:after="0" w:line="15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5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2024 and 2025.</w:t>
      </w:r>
    </w:p>
    <w:p>
      <w:pPr>
        <w:spacing w:after="0" w:line="16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47,260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55,607</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66,557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74,261</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interest expense related to our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4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4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378,858</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408,172</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128,380</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279,792</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96,368</w:t>
            </w:r>
          </w:p>
        </w:tc>
        <w:tc>
          <w:tcPr>
            <w:tcW w:w="0" w:type="dxa"/>
            <w:vAlign w:val="bottom"/>
          </w:tcPr>
          <w:p>
            <w:pPr>
              <w:spacing w:after="0"/>
              <w:rPr>
                <w:sz w:val="1"/>
                <w:szCs w:val="1"/>
                <w:color w:val="auto"/>
              </w:rPr>
            </w:pP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55,607</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53,606</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183,852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205,581</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74,211</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74,913</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5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8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8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3"/>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9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2024 and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333,105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378,858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29,851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29,314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September 30, 2025 increased by $45.8 million, or 14%, to $378.9 million from $333.1 million for the three months ended September 30, 2024. Recurring and other revenue increased primarily as a result of incremental revenues from new and existing clients due to the strong performance by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September 30, 2025 decreased by $0.5 million, or 2%, to $29.3 million from $29.9 million for the three months ended September 30, 2024. Interest income on funds held for clients decreased slightly, as the negative impact from lower interest rates was mostly offset by positive impact from higher average daily balances of funds held for new and existing clients as compared to the prior fiscal year.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114,960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128,380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2025 increased by $13.4 million, or 12%, to $128.4 million from $115.0 million for the three months ended September 30, 2024. Cost of revenues increased primarily as a result of the continued growth of our business, in particular, $6.4 million in additional employee-related costs, $3.5 million in additional amortization of internal-use software, $2.5 million in additional amortization of certain intangible assets and $1.4 million in additional processing and delivery related costs. Gross margin increased from 68% for the three months ended September 30, 2024 to 69% for the three months ended September 30,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88,431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96,368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7,937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September 30, 2025 increased by $7.9 million, or 9%, to $96.4 million from $88.4 million for the three months ended September 30, 2024. The increase in sales and marketing expense was primarily due to $6.7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55,607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2025 increased by $8.3 million, or 18%, to $55.6 million from</w:t>
      </w:r>
    </w:p>
    <w:p>
      <w:pPr>
        <w:spacing w:after="0" w:line="5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$47.3 million for the three months ended September 30, 2024. The increase in research and development expenses was primarily due to $7.7 million of additional employee-related costs related to additional development personnel, net of capitalized internal-use software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48,161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53,606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2025 increased by $5.4 million, or 11%, to $53.6 million from $48.2 million for the three months ended September 30, 2024. General and administrative expenses increased primarily due to $5.7 million in additional stock-based compensation expense largely driven by executive award forfeitures during the three months ended September 30,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September 30, 2025 decreased by $4.0 million as compared to the three months ended September 30, 2024. The change in other income was primarily due to $2.1 million reduction in interest earned on our cash and cash equivalents from lower average balances and $2.0 million in additional interest expense related to borrowings under our revolving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28.0% and 35.9% for the three months ended September 30, 2024 and 2025, respectively. Our effective tax rate for both the three months ended September 30, 2024 was higher than the federal statutory rate of 21% primarily due to state and local income taxes. Our effective tax rate for the three months ended September 30, 2025 was higher than the federal statutory rate of 21% primarily due to stock-based compensation shortfalls realized, state and local income taxes and an increase in the valuation allowance as explained below.</w:t>
      </w:r>
    </w:p>
    <w:p>
      <w:pPr>
        <w:spacing w:after="0" w:line="15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most significant provision applicable to us relates to accelerated tax deductions for qualified property and research expenditures. As a result of this provision, deferred tax assets and liabilities and income tax payables and receivables were impacted starting in fiscal 2026 and we expect cash tax benefits due to lower cash tax payments throughout fiscal 2026. Furthermore, we evaluated the impacts of the Act on certain state tax attributes and has determined that a valuation allowance is needed to reflect the realizability of those assets based on current federal and state law as of September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0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There have been no material changes in our critical accounting policies and use of estimates from the information provided in Item 7 of our audited consolidated financial statements for the year ended June 30, 2025 included in our Annual Report on Form 10-K filed with the SEC on August 6,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September 30, 2025, our principal source of liquidity was $165.2 million of cash and cash equivalents. We maintain a credit agreement that provides for a $550.0 million revolving credit facility, which may be increased up to $825.0 million. During fiscal 2025, we borrowed $325.0 million under this credit facility to fund the October 2024 acquisition of Airbase Inc. We had $81.3 million in outstanding</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borrowings under this credit facility at September 30, 2025, as we repaid $162.5 million in the second half of fiscal 2025 and an additional $81.3 million during the first quarter of fiscal 2026. Refer to Notes 4 and 8 of the Notes to the Unaudited Consolidated Financial Statements for additional details on the Airbase acquisition and credit agreement, respectively.</w:t>
      </w:r>
    </w:p>
    <w:p>
      <w:pPr>
        <w:spacing w:after="0" w:line="13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$500.0 million of our common stock (the "Repurchase Program"). In July 2025, our board of directors approved a $500.0 million increase to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the three months ended September 30, 2025, we repurchased an aggregate of 1.2 million shares for approximately $200.0 million at an average cost per share of $173.30 under the Repurchase Program. As of September 30, 2025, approximately $500.4 million remains authorized for repurchases under the Repurchase Program.</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bonds, asset-backed securities, certificates of deposit, U.S. treasury securities, and other securities with credit quality ratings of A-1 or higher as well as in money market funds. As of September 30, 2025, we did not have any corporate investments classified as available-for-sale securities.</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payroll and spend management processing activities involve the movement of significant funds from accounts of clients to their employees, relevant taxing authorities and vendors. Funds held for clients and client fund obligations will vary substantially from period to period mostly as a result of the timing of payroll and payroll tax obligations due. Though we debit a client’s account prior to any disbursement on its behalf, there is a delay between when our payments are due and when the incoming funds from the client to cover these amounts payable actually clear into our operating accounts. We currently have agreements with various major U.S. banks to execute ACH and wire transfers to support our services. We believe we have sufficient capacity under these ACH arrangements to handle all transaction volumes for the foreseeable future. We primarily collect fees for our HCM and payroll services via ACH transactions at the same time we debit the client’s account for payroll and payroll tax obligations and thus are able to reduce collectability and accounts receivable risks.</w:t>
      </w:r>
    </w:p>
    <w:p>
      <w:pPr>
        <w:spacing w:after="0" w:line="165"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(229,692)</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$91.5 million and $86.5 million for the three months ended September 30, 2024 and 2025, respectively. The change in net cash provided by operating activities from the three months ended September 30, 2024 to the three months ended September 30, 2025 was primarily due to changes in operating assets and liabilities, partially offset by improved operating results after adjusting for non-cash items including stock-based compensation expense, depreciation and amortization expense and deferred income tax expense (benefit) during the three months ended September 30, 2025 as compared to the three months ended September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$13.3 million and $17.7 million for the three months ended September 30, 2024 and 2025,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a $10.3 million increase in purchases of available-for-sale securities, partially offset by a $7.3 million increase in proceeds from the sales and maturities of available-for-sale securities during the three months ended September 30, 2025 as compared to the three months ended September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Net cash used in financing activities was $318.3 million and $229.7 million for the three months ended September 30, 2024 and 2025, respectively. The change in net cash used in financing activities was primarily due to an increase in the net change in client fund obligations of $692.0 million due to the timing of client funds collected and related remittance of those funds to client employees and taxing authorities. This was partially offset</w:t>
      </w:r>
    </w:p>
    <w:p>
      <w:pPr>
        <w:spacing w:after="0" w:line="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by $325.0 million in borrowings under our credit facility during the three months ended September 30, 2024, and $200.0 million in share repurchases and $81.3 million repayment of amounts borrowed on our credit facility during the three months ended September 30,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right="420" w:firstLine="648"/>
        <w:spacing w:after="0" w:line="289" w:lineRule="auto"/>
        <w:rPr>
          <w:sz w:val="20"/>
          <w:szCs w:val="20"/>
          <w:color w:val="auto"/>
        </w:rPr>
      </w:pPr>
      <w:r>
        <w:rPr>
          <w:rFonts w:ascii="Times New Roman" w:cs="Times New Roman" w:eastAsia="Times New Roman" w:hAnsi="Times New Roman"/>
          <w:sz w:val="17"/>
          <w:szCs w:val="17"/>
          <w:color w:val="auto"/>
        </w:rPr>
        <w:t>At September 30, 2025, our principal commitments consisted of $81.3 million in borrowings on our revolving credit facility, which is contractually not due in the next twelve months, and related interest payments, as well as $63.2 million in operating lease obligations, of which $10.4 million is due in the next twelve months. We also had $84.6 million in purchase obligations, of which $55.2 million is due in the next twelve months.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$2.3 million and $3.8 million for the three months ended September 30, 2024 and 2025, respectively, exclusive of capitalized internal-use software costs of $15.2 million and $15.5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6, 2025 for risks related to our business.</w:t>
      </w:r>
    </w:p>
    <w:p>
      <w:pPr>
        <w:spacing w:after="0" w:line="14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$165.2 million and funds held for clients of $2,775.6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commercial paper, corporate bonds, asset-backed securities, certificates of deposit, U.S. treasury securities, and other securities, as well as in money market funds.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$12.0 million as of September 30, 2025.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$11.6 million as of September 30, 2025.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maintain a 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12529"/>
        </w:rPr>
        <w:t xml:space="preserve">, we had </w:t>
      </w:r>
      <w:r>
        <w:rPr>
          <w:rFonts w:ascii="Times New Roman" w:cs="Times New Roman" w:eastAsia="Times New Roman" w:hAnsi="Times New Roman"/>
          <w:sz w:val="18"/>
          <w:szCs w:val="18"/>
          <w:color w:val="000000"/>
        </w:rPr>
        <w:t xml:space="preserve">$81.3 million in borrowings outstanding under our credit facility. </w:t>
      </w:r>
      <w:r>
        <w:rPr>
          <w:rFonts w:ascii="Times New Roman" w:cs="Times New Roman" w:eastAsia="Times New Roman" w:hAnsi="Times New Roman"/>
          <w:sz w:val="18"/>
          <w:szCs w:val="18"/>
          <w:color w:val="212529"/>
        </w:rPr>
        <w:t>Because interest rates applicable to the credit facility are variable, we are exposed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market risk from changes in the underlying index rates, which affects our interest expense. A hypothetical change of 100 basis points in interest rates would not have had a significant impact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September 30, 2025,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2025 filed with the SEC on August 6,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Company’s purchases of its common stock during the three months ended September 30,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20" w:type="dxa"/>
            <w:vAlign w:val="bottom"/>
          </w:tcPr>
          <w:p>
            <w:pPr>
              <w:spacing w:after="0"/>
              <w:rPr>
                <w:sz w:val="15"/>
                <w:szCs w:val="15"/>
                <w:color w:val="auto"/>
              </w:rPr>
            </w:pPr>
          </w:p>
        </w:tc>
        <w:tc>
          <w:tcPr>
            <w:tcW w:w="2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2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20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Yet Be Purchased Under</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Share (1)</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the Plans or Programs (2)</w:t>
            </w: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 July 31,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183.20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212,487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661,434,481</w:t>
            </w:r>
          </w:p>
        </w:tc>
        <w:tc>
          <w:tcPr>
            <w:tcW w:w="0" w:type="dxa"/>
            <w:vAlign w:val="bottom"/>
          </w:tcPr>
          <w:p>
            <w:pPr>
              <w:spacing w:after="0"/>
              <w:rPr>
                <w:sz w:val="1"/>
                <w:szCs w:val="1"/>
                <w:color w:val="auto"/>
              </w:rPr>
            </w:pPr>
          </w:p>
        </w:tc>
      </w:tr>
      <w:tr>
        <w:trPr>
          <w:trHeight w:val="25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178.52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610,636,518</w:t>
            </w:r>
          </w:p>
        </w:tc>
        <w:tc>
          <w:tcPr>
            <w:tcW w:w="0" w:type="dxa"/>
            <w:vAlign w:val="bottom"/>
          </w:tcPr>
          <w:p>
            <w:pPr>
              <w:spacing w:after="0"/>
              <w:rPr>
                <w:sz w:val="1"/>
                <w:szCs w:val="1"/>
                <w:color w:val="auto"/>
              </w:rPr>
            </w:pPr>
          </w:p>
        </w:tc>
      </w:tr>
      <w:tr>
        <w:trPr>
          <w:trHeight w:val="22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 September 30,</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167.84</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657,029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500,362,644</w:t>
            </w:r>
          </w:p>
        </w:tc>
        <w:tc>
          <w:tcPr>
            <w:tcW w:w="0" w:type="dxa"/>
            <w:vAlign w:val="bottom"/>
          </w:tcPr>
          <w:p>
            <w:pPr>
              <w:spacing w:after="0"/>
              <w:rPr>
                <w:sz w:val="1"/>
                <w:szCs w:val="1"/>
                <w:color w:val="auto"/>
              </w:rPr>
            </w:pPr>
          </w:p>
        </w:tc>
      </w:tr>
      <w:tr>
        <w:trPr>
          <w:trHeight w:val="223"/>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1,154,072</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excludes excise taxes payable on shares repurchased.</w:t>
      </w:r>
    </w:p>
    <w:p>
      <w:pPr>
        <w:spacing w:after="0" w:line="225" w:lineRule="exact"/>
        <w:rPr>
          <w:rFonts w:ascii="Times New Roman" w:cs="Times New Roman" w:eastAsia="Times New Roman" w:hAnsi="Times New Roman"/>
          <w:sz w:val="18"/>
          <w:szCs w:val="18"/>
          <w:color w:val="auto"/>
        </w:rPr>
      </w:pPr>
    </w:p>
    <w:p>
      <w:pPr>
        <w:ind w:right="580" w:firstLine="8"/>
        <w:spacing w:after="0" w:line="266" w:lineRule="auto"/>
        <w:tabs>
          <w:tab w:leader="none" w:pos="3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 In July 2025, our board of directors approved a $500 million increase to the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following directors and/or officers (as defined in Rule 16a-1(f)) adopted a “Rule 10b5-1 trading arrangement,” as defined in Item 408(a) of Regulation S-K intending to satisfy the affirmative defense conditions of Rule 10b5-1(c):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Shares of Common</w:t>
            </w:r>
          </w:p>
        </w:tc>
        <w:tc>
          <w:tcPr>
            <w:tcW w:w="2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Duration</w:t>
            </w:r>
            <w:r>
              <w:rPr>
                <w:rFonts w:ascii="Times New Roman" w:cs="Times New Roman" w:eastAsia="Times New Roman" w:hAnsi="Times New Roman"/>
                <w:sz w:val="23"/>
                <w:szCs w:val="23"/>
                <w:b w:val="1"/>
                <w:bCs w:val="1"/>
                <w:color w:val="auto"/>
                <w:vertAlign w:val="superscript"/>
              </w:rPr>
              <w:t>(2)</w:t>
            </w:r>
          </w:p>
        </w:tc>
        <w:tc>
          <w:tcPr>
            <w:tcW w:w="20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2800" w:type="dxa"/>
            <w:vAlign w:val="bottom"/>
            <w:vMerge w:val="continue"/>
          </w:tcPr>
          <w:p>
            <w:pPr>
              <w:spacing w:after="0"/>
              <w:rPr>
                <w:sz w:val="21"/>
                <w:szCs w:val="21"/>
                <w:color w:val="auto"/>
              </w:rPr>
            </w:pPr>
          </w:p>
        </w:tc>
        <w:tc>
          <w:tcPr>
            <w:tcW w:w="2520" w:type="dxa"/>
            <w:vAlign w:val="bottom"/>
          </w:tcPr>
          <w:p>
            <w:pPr>
              <w:jc w:val="right"/>
              <w:ind w:right="170"/>
              <w:spacing w:after="0" w:line="243" w:lineRule="exact"/>
              <w:rPr>
                <w:sz w:val="20"/>
                <w:szCs w:val="20"/>
                <w:color w:val="auto"/>
              </w:rPr>
            </w:pPr>
            <w:r>
              <w:rPr>
                <w:rFonts w:ascii="Times New Roman" w:cs="Times New Roman" w:eastAsia="Times New Roman" w:hAnsi="Times New Roman"/>
                <w:sz w:val="18"/>
                <w:szCs w:val="18"/>
                <w:b w:val="1"/>
                <w:bCs w:val="1"/>
                <w:color w:val="auto"/>
              </w:rPr>
              <w:t>Stock to be Sold</w:t>
            </w:r>
            <w:r>
              <w:rPr>
                <w:rFonts w:ascii="Times New Roman" w:cs="Times New Roman" w:eastAsia="Times New Roman" w:hAnsi="Times New Roman"/>
                <w:sz w:val="23"/>
                <w:szCs w:val="23"/>
                <w:b w:val="1"/>
                <w:bCs w:val="1"/>
                <w:color w:val="auto"/>
                <w:vertAlign w:val="superscript"/>
              </w:rPr>
              <w:t>(1)</w:t>
            </w:r>
          </w:p>
        </w:tc>
        <w:tc>
          <w:tcPr>
            <w:tcW w:w="2120" w:type="dxa"/>
            <w:vAlign w:val="bottom"/>
            <w:vMerge w:val="continue"/>
          </w:tcPr>
          <w:p>
            <w:pPr>
              <w:spacing w:after="0"/>
              <w:rPr>
                <w:sz w:val="21"/>
                <w:szCs w:val="21"/>
                <w:color w:val="auto"/>
              </w:rPr>
            </w:pPr>
          </w:p>
        </w:tc>
        <w:tc>
          <w:tcPr>
            <w:tcW w:w="20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R. Beauchamp</w:t>
            </w:r>
          </w:p>
        </w:tc>
        <w:tc>
          <w:tcPr>
            <w:tcW w:w="25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800" w:type="dxa"/>
            <w:vAlign w:val="bottom"/>
            <w:shd w:val="clear" w:color="auto" w:fill="CCEEFF"/>
          </w:tcPr>
          <w:p>
            <w:pPr>
              <w:spacing w:after="0"/>
              <w:rPr>
                <w:sz w:val="16"/>
                <w:szCs w:val="16"/>
                <w:color w:val="auto"/>
              </w:rPr>
            </w:pPr>
          </w:p>
        </w:tc>
        <w:tc>
          <w:tcPr>
            <w:tcW w:w="25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225,000</w:t>
            </w:r>
            <w:r>
              <w:rPr>
                <w:rFonts w:ascii="Times New Roman" w:cs="Times New Roman" w:eastAsia="Times New Roman" w:hAnsi="Times New Roman"/>
                <w:sz w:val="23"/>
                <w:szCs w:val="23"/>
                <w:color w:val="auto"/>
                <w:vertAlign w:val="superscript"/>
              </w:rPr>
              <w:t>(3)(4)</w:t>
            </w:r>
          </w:p>
        </w:tc>
        <w:tc>
          <w:tcPr>
            <w:tcW w:w="2120" w:type="dxa"/>
            <w:vAlign w:val="bottom"/>
            <w:shd w:val="clear" w:color="auto" w:fill="CCEEFF"/>
          </w:tcPr>
          <w:p>
            <w:pPr>
              <w:jc w:val="right"/>
              <w:ind w:right="250"/>
              <w:spacing w:after="0" w:line="184" w:lineRule="exact"/>
              <w:rPr>
                <w:sz w:val="20"/>
                <w:szCs w:val="20"/>
                <w:color w:val="auto"/>
              </w:rPr>
            </w:pPr>
            <w:r>
              <w:rPr>
                <w:rFonts w:ascii="Times New Roman" w:cs="Times New Roman" w:eastAsia="Times New Roman" w:hAnsi="Times New Roman"/>
                <w:sz w:val="18"/>
                <w:szCs w:val="18"/>
                <w:color w:val="auto"/>
              </w:rPr>
              <w:t>January 15, 2026 -</w:t>
            </w:r>
          </w:p>
        </w:tc>
        <w:tc>
          <w:tcPr>
            <w:tcW w:w="20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c>
          <w:tcPr>
            <w:tcW w:w="2520" w:type="dxa"/>
            <w:vAlign w:val="bottom"/>
            <w:vMerge w:val="continue"/>
            <w:shd w:val="clear" w:color="auto" w:fill="CCEEFF"/>
          </w:tcPr>
          <w:p>
            <w:pPr>
              <w:spacing w:after="0"/>
              <w:rPr>
                <w:sz w:val="21"/>
                <w:szCs w:val="21"/>
                <w:color w:val="auto"/>
              </w:rPr>
            </w:pPr>
          </w:p>
        </w:tc>
        <w:tc>
          <w:tcPr>
            <w:tcW w:w="2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November 30, 2026</w:t>
            </w:r>
          </w:p>
        </w:tc>
        <w:tc>
          <w:tcPr>
            <w:tcW w:w="2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August 19,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30, 2026</w:t>
            </w:r>
          </w:p>
        </w:tc>
        <w:tc>
          <w:tcPr>
            <w:tcW w:w="0" w:type="dxa"/>
            <w:vAlign w:val="bottom"/>
          </w:tcPr>
          <w:p>
            <w:pPr>
              <w:spacing w:after="0"/>
              <w:rPr>
                <w:sz w:val="1"/>
                <w:szCs w:val="1"/>
                <w:color w:val="auto"/>
              </w:rPr>
            </w:pP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Cappotelli</w:t>
            </w:r>
          </w:p>
        </w:tc>
        <w:tc>
          <w:tcPr>
            <w:tcW w:w="2520" w:type="dxa"/>
            <w:vAlign w:val="bottom"/>
          </w:tcPr>
          <w:p>
            <w:pPr>
              <w:spacing w:after="0"/>
              <w:rPr>
                <w:sz w:val="20"/>
                <w:szCs w:val="20"/>
                <w:color w:val="auto"/>
              </w:rPr>
            </w:pPr>
          </w:p>
        </w:tc>
        <w:tc>
          <w:tcPr>
            <w:tcW w:w="2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November 26, 2025 -</w:t>
            </w:r>
          </w:p>
        </w:tc>
        <w:tc>
          <w:tcPr>
            <w:tcW w:w="2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Operations</w:t>
            </w:r>
          </w:p>
        </w:tc>
        <w:tc>
          <w:tcPr>
            <w:tcW w:w="2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Up to 9,210</w:t>
            </w:r>
          </w:p>
        </w:tc>
        <w:tc>
          <w:tcPr>
            <w:tcW w:w="2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September 8, 2026</w:t>
            </w:r>
          </w:p>
        </w:tc>
        <w:tc>
          <w:tcPr>
            <w:tcW w:w="2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August 27,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8, 2026</w:t>
            </w: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Ryan Glenn</w:t>
            </w:r>
          </w:p>
        </w:tc>
        <w:tc>
          <w:tcPr>
            <w:tcW w:w="2520" w:type="dxa"/>
            <w:vAlign w:val="bottom"/>
            <w:shd w:val="clear" w:color="auto" w:fill="CCEEFF"/>
          </w:tcPr>
          <w:p>
            <w:pPr>
              <w:spacing w:after="0"/>
              <w:rPr>
                <w:sz w:val="20"/>
                <w:szCs w:val="20"/>
                <w:color w:val="auto"/>
              </w:rPr>
            </w:pPr>
          </w:p>
        </w:tc>
        <w:tc>
          <w:tcPr>
            <w:tcW w:w="21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February 19, 2026 -</w:t>
            </w:r>
          </w:p>
        </w:tc>
        <w:tc>
          <w:tcPr>
            <w:tcW w:w="20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800" w:type="dxa"/>
            <w:vAlign w:val="bottom"/>
            <w:shd w:val="clear" w:color="auto" w:fill="CCEEFF"/>
          </w:tcPr>
          <w:p>
            <w:pPr>
              <w:spacing w:after="0"/>
              <w:rPr>
                <w:sz w:val="10"/>
                <w:szCs w:val="10"/>
                <w:color w:val="auto"/>
              </w:rPr>
            </w:pPr>
          </w:p>
        </w:tc>
        <w:tc>
          <w:tcPr>
            <w:tcW w:w="25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Up to 19,225</w:t>
            </w:r>
            <w:r>
              <w:rPr>
                <w:rFonts w:ascii="Times New Roman" w:cs="Times New Roman" w:eastAsia="Times New Roman" w:hAnsi="Times New Roman"/>
                <w:sz w:val="23"/>
                <w:szCs w:val="23"/>
                <w:color w:val="auto"/>
                <w:vertAlign w:val="superscript"/>
              </w:rPr>
              <w:t>(4)</w:t>
            </w:r>
          </w:p>
        </w:tc>
        <w:tc>
          <w:tcPr>
            <w:tcW w:w="2120" w:type="dxa"/>
            <w:vAlign w:val="bottom"/>
            <w:vMerge w:val="continue"/>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20" w:type="dxa"/>
            <w:vAlign w:val="bottom"/>
            <w:vMerge w:val="continue"/>
            <w:shd w:val="clear" w:color="auto" w:fill="CCEEFF"/>
          </w:tcPr>
          <w:p>
            <w:pPr>
              <w:spacing w:after="0"/>
              <w:rPr>
                <w:sz w:val="21"/>
                <w:szCs w:val="21"/>
                <w:color w:val="auto"/>
              </w:rPr>
            </w:pPr>
          </w:p>
        </w:tc>
        <w:tc>
          <w:tcPr>
            <w:tcW w:w="2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November 20, 2026</w:t>
            </w:r>
          </w:p>
        </w:tc>
        <w:tc>
          <w:tcPr>
            <w:tcW w:w="2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September 5,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20, 2026</w:t>
            </w:r>
          </w:p>
        </w:tc>
        <w:tc>
          <w:tcPr>
            <w:tcW w:w="0" w:type="dxa"/>
            <w:vAlign w:val="bottom"/>
          </w:tcPr>
          <w:p>
            <w:pPr>
              <w:spacing w:after="0"/>
              <w:rPr>
                <w:sz w:val="1"/>
                <w:szCs w:val="1"/>
                <w:color w:val="auto"/>
              </w:rPr>
            </w:pP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Scutt</w:t>
            </w:r>
          </w:p>
        </w:tc>
        <w:tc>
          <w:tcPr>
            <w:tcW w:w="2520" w:type="dxa"/>
            <w:vAlign w:val="bottom"/>
          </w:tcPr>
          <w:p>
            <w:pPr>
              <w:spacing w:after="0"/>
              <w:rPr>
                <w:sz w:val="20"/>
                <w:szCs w:val="20"/>
                <w:color w:val="auto"/>
              </w:rPr>
            </w:pPr>
          </w:p>
        </w:tc>
        <w:tc>
          <w:tcPr>
            <w:tcW w:w="2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December 10, 2025 -</w:t>
            </w:r>
          </w:p>
        </w:tc>
        <w:tc>
          <w:tcPr>
            <w:tcW w:w="2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2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Up to 18,433</w:t>
            </w:r>
            <w:r>
              <w:rPr>
                <w:rFonts w:ascii="Times New Roman" w:cs="Times New Roman" w:eastAsia="Times New Roman" w:hAnsi="Times New Roman"/>
                <w:sz w:val="23"/>
                <w:szCs w:val="23"/>
                <w:color w:val="auto"/>
                <w:vertAlign w:val="superscript"/>
              </w:rPr>
              <w:t>(4)</w:t>
            </w:r>
          </w:p>
        </w:tc>
        <w:tc>
          <w:tcPr>
            <w:tcW w:w="212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Sales</w:t>
            </w:r>
          </w:p>
        </w:tc>
        <w:tc>
          <w:tcPr>
            <w:tcW w:w="2520" w:type="dxa"/>
            <w:vAlign w:val="bottom"/>
            <w:vMerge w:val="continue"/>
          </w:tcPr>
          <w:p>
            <w:pPr>
              <w:spacing w:after="0"/>
              <w:rPr>
                <w:sz w:val="24"/>
                <w:szCs w:val="24"/>
                <w:color w:val="auto"/>
              </w:rPr>
            </w:pPr>
          </w:p>
        </w:tc>
        <w:tc>
          <w:tcPr>
            <w:tcW w:w="2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August 21, 2026</w:t>
            </w:r>
          </w:p>
        </w:tc>
        <w:tc>
          <w:tcPr>
            <w:tcW w:w="2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10,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21, 2026</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660" w:right="40" w:hanging="652"/>
        <w:spacing w:after="0" w:line="220"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shares subject to certain outstanding equity awards with time- and/or performance-based vesting conditions. For shares subject to performance-based vesting conditions, the number of shares included in the table above assumes the target achievement of the performance-based conditions. Additionally, for both time- and performance-based vesting awards, the actual number of shares that may be sold will be net of the number of shares withheld by the Company to satisfy tax withholding obligations arising from the vesting of such awards, which is not determinable at this time.</w:t>
      </w:r>
    </w:p>
    <w:p>
      <w:pPr>
        <w:spacing w:after="0" w:line="24" w:lineRule="exact"/>
        <w:rPr>
          <w:rFonts w:ascii="Times New Roman" w:cs="Times New Roman" w:eastAsia="Times New Roman" w:hAnsi="Times New Roman"/>
          <w:sz w:val="23"/>
          <w:szCs w:val="23"/>
          <w:color w:val="auto"/>
          <w:vertAlign w:val="superscript"/>
        </w:rPr>
      </w:pPr>
    </w:p>
    <w:p>
      <w:pPr>
        <w:ind w:left="660" w:right="380" w:hanging="652"/>
        <w:spacing w:after="0" w:line="215" w:lineRule="auto"/>
        <w:tabs>
          <w:tab w:leader="none" w:pos="325"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trading arrangement permits transactions through and including the earlier to occur of (a) the completion of all sales or (b) the expiration date listed in the table.</w:t>
      </w:r>
    </w:p>
    <w:p>
      <w:pPr>
        <w:spacing w:after="0" w:line="9" w:lineRule="exact"/>
        <w:rPr>
          <w:rFonts w:ascii="Times New Roman" w:cs="Times New Roman" w:eastAsia="Times New Roman" w:hAnsi="Times New Roman"/>
          <w:sz w:val="23"/>
          <w:szCs w:val="23"/>
          <w:color w:val="auto"/>
          <w:vertAlign w:val="superscript"/>
        </w:rPr>
      </w:pPr>
    </w:p>
    <w:p>
      <w:pPr>
        <w:ind w:left="660" w:right="60" w:hanging="652"/>
        <w:spacing w:after="0" w:line="222"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Beauchamp’s Rule 10b5-1 trading arrangement includes 165,000 shares held directly by Mr. Beauchamp and 60,000 shares to be sold by the IRIE Family Trust where Mr. Beauchamp's spouse is the trustee.</w:t>
      </w:r>
    </w:p>
    <w:p>
      <w:pPr>
        <w:ind w:left="320" w:hanging="312"/>
        <w:spacing w:after="0" w:line="220"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that will be sold is determined, in part, based on pricing triggers outlined in the adopting person's trading arrangement.</w:t>
      </w:r>
    </w:p>
    <w:p>
      <w:pPr>
        <w:spacing w:after="0" w:line="30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September 30, 2025.</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60" w:type="dxa"/>
            <w:vAlign w:val="bottom"/>
            <w:gridSpan w:val="10"/>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16"/>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8-K on December 4, 2023 (File No. 001-36348)).</w:t>
              </w:r>
            </w:hyperlink>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Third Amended and Restated Bylaws of Paylocity Holding Corporation (filed as Exhibit 3.2 of Paylocity Holding Corporation’s Current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U.S. Executive Restricted Stock Unit Notice of Grant and Award Agreement under 2023 Equity Incentive Plan.</w:t>
            </w: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U.S. Executive Restricted Stock Unit Notice of Grant and Award Agreement (for California Participants Executive and Board)</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under 2023 Equity Incentive Plan.</w:t>
            </w:r>
          </w:p>
        </w:tc>
        <w:tc>
          <w:tcPr>
            <w:tcW w:w="728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264"/>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480" w:type="dxa"/>
            <w:vAlign w:val="bottom"/>
            <w:gridSpan w:val="6"/>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40" w:type="dxa"/>
            <w:vAlign w:val="bottom"/>
            <w:gridSpan w:val="7"/>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00" w:type="dxa"/>
            <w:vAlign w:val="bottom"/>
            <w:gridSpan w:val="14"/>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67" w:lineRule="exact"/>
        <w:rPr>
          <w:sz w:val="20"/>
          <w:szCs w:val="20"/>
          <w:color w:val="auto"/>
        </w:rPr>
      </w:pPr>
    </w:p>
    <w:p>
      <w:pPr>
        <w:ind w:left="560" w:hanging="534"/>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hanging="534"/>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5, 2025</w:t>
            </w: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40" w:type="dxa"/>
            <w:vAlign w:val="bottom"/>
          </w:tcPr>
          <w:p>
            <w:pPr>
              <w:ind w:left="18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w:t>
            </w:r>
          </w:p>
        </w:tc>
      </w:tr>
      <w:tr>
        <w:trPr>
          <w:trHeight w:val="238"/>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5, 2025</w:t>
            </w: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238"/>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r>
        <w:trPr>
          <w:trHeight w:val="904"/>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5"/>
          <w:szCs w:val="25"/>
          <w:b w:val="1"/>
          <w:bCs w:val="1"/>
          <w:color w:val="auto"/>
        </w:rPr>
        <w:t>RSU Grant Notice with Quarterly Vesting Schedule</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GRANT OF RESTRICTED STOCK UNITS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(Contains a Non-Competition Covenant)</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Paylocity Holding Corporation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has granted to the Participant an award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of certain units pursuant to the Paylocity Holding Corporation 2023 Equity Incentive Plan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each of which represents the right to receive on the applicable Settlement Date one (1)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2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w:t>
            </w:r>
          </w:p>
        </w:tc>
        <w:tc>
          <w:tcPr>
            <w:tcW w:w="32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as</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4"/>
              </w:rPr>
              <w:t>follows:</w:t>
            </w:r>
          </w:p>
        </w:tc>
      </w:tr>
      <w:tr>
        <w:trPr>
          <w:trHeight w:val="23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20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2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2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Units:</w:t>
            </w:r>
          </w:p>
        </w:tc>
        <w:tc>
          <w:tcPr>
            <w:tcW w:w="77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_________ Subject to adjustment as provided by the Restricted Stock Units Agreement.</w:t>
            </w:r>
          </w:p>
        </w:tc>
        <w:tc>
          <w:tcPr>
            <w:tcW w:w="1100" w:type="dxa"/>
            <w:vAlign w:val="bottom"/>
          </w:tcPr>
          <w:p>
            <w:pPr>
              <w:spacing w:after="0"/>
              <w:rPr>
                <w:sz w:val="24"/>
                <w:szCs w:val="24"/>
                <w:color w:val="auto"/>
              </w:rPr>
            </w:pPr>
          </w:p>
        </w:tc>
      </w:tr>
      <w:tr>
        <w:trPr>
          <w:trHeight w:val="40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Except as provided by the Restricted Stock Units Agreement, the date on which a Unit becomes a Vested Unit.</w:t>
            </w:r>
          </w:p>
        </w:tc>
      </w:tr>
      <w:tr>
        <w:trPr>
          <w:trHeight w:val="40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2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Units:</w:t>
            </w: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Except as provided in the Restricted Stock Units Agreement and provided that the Participant’s Service has not</w:t>
            </w:r>
          </w:p>
        </w:tc>
      </w:tr>
      <w:tr>
        <w:trPr>
          <w:trHeight w:val="198"/>
        </w:trPr>
        <w:tc>
          <w:tcPr>
            <w:tcW w:w="2340" w:type="dxa"/>
            <w:vAlign w:val="bottom"/>
          </w:tcPr>
          <w:p>
            <w:pPr>
              <w:spacing w:after="0"/>
              <w:rPr>
                <w:sz w:val="17"/>
                <w:szCs w:val="17"/>
                <w:color w:val="auto"/>
              </w:rPr>
            </w:pPr>
          </w:p>
        </w:tc>
        <w:tc>
          <w:tcPr>
            <w:tcW w:w="8880" w:type="dxa"/>
            <w:vAlign w:val="bottom"/>
            <w:gridSpan w:val="6"/>
          </w:tcPr>
          <w:p>
            <w:pPr>
              <w:ind w:left="440"/>
              <w:spacing w:after="0" w:line="199" w:lineRule="exact"/>
              <w:rPr>
                <w:sz w:val="20"/>
                <w:szCs w:val="20"/>
                <w:color w:val="auto"/>
              </w:rPr>
            </w:pPr>
            <w:r>
              <w:rPr>
                <w:rFonts w:ascii="Times New Roman" w:cs="Times New Roman" w:eastAsia="Times New Roman" w:hAnsi="Times New Roman"/>
                <w:sz w:val="18"/>
                <w:szCs w:val="18"/>
                <w:color w:val="auto"/>
              </w:rPr>
              <w:t>terminated prior to the applicable date, the number of Vested Units (disregarding any resulting fractional Unit) as of</w:t>
            </w:r>
          </w:p>
        </w:tc>
      </w:tr>
      <w:tr>
        <w:trPr>
          <w:trHeight w:val="207"/>
        </w:trPr>
        <w:tc>
          <w:tcPr>
            <w:tcW w:w="2340" w:type="dxa"/>
            <w:vAlign w:val="bottom"/>
          </w:tcPr>
          <w:p>
            <w:pPr>
              <w:spacing w:after="0"/>
              <w:rPr>
                <w:sz w:val="17"/>
                <w:szCs w:val="17"/>
                <w:color w:val="auto"/>
              </w:rPr>
            </w:pP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 xml:space="preserve">any date is determined by multiplying the Total Number of Units by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Vested Ratio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determined as of such date,</w:t>
            </w:r>
          </w:p>
        </w:tc>
      </w:tr>
      <w:tr>
        <w:trPr>
          <w:trHeight w:val="234"/>
        </w:trPr>
        <w:tc>
          <w:tcPr>
            <w:tcW w:w="2340" w:type="dxa"/>
            <w:vAlign w:val="bottom"/>
          </w:tcPr>
          <w:p>
            <w:pPr>
              <w:spacing w:after="0"/>
              <w:rPr>
                <w:sz w:val="20"/>
                <w:szCs w:val="20"/>
                <w:color w:val="auto"/>
              </w:rPr>
            </w:pP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follows:</w:t>
            </w:r>
          </w:p>
        </w:tc>
        <w:tc>
          <w:tcPr>
            <w:tcW w:w="2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2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Vested Ratio</w:t>
            </w:r>
          </w:p>
        </w:tc>
        <w:tc>
          <w:tcPr>
            <w:tcW w:w="1100" w:type="dxa"/>
            <w:vAlign w:val="bottom"/>
          </w:tcPr>
          <w:p>
            <w:pPr>
              <w:spacing w:after="0"/>
              <w:rPr>
                <w:sz w:val="24"/>
                <w:szCs w:val="24"/>
                <w:color w:val="auto"/>
              </w:rPr>
            </w:pPr>
          </w:p>
        </w:tc>
      </w:tr>
      <w:tr>
        <w:trPr>
          <w:trHeight w:val="69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None</w:t>
            </w:r>
          </w:p>
        </w:tc>
        <w:tc>
          <w:tcPr>
            <w:tcW w:w="2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54"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w:t>
      </w:r>
    </w:p>
    <w:p>
      <w:pPr>
        <w:spacing w:after="0" w:line="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this document, and by the Superseding Agreement, if any. The Participant acknowledges that copies of the Plan, the Restricted Stock Units Agreement and the prospectus for the Plan are posted to the participant’s online account through the Company designated stock compensation administration provider and</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52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00"/>
        </w:trPr>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40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1400 American Lane</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Schaumburg, IL 60173</w:t>
            </w:r>
          </w:p>
        </w:tc>
        <w:tc>
          <w:tcPr>
            <w:tcW w:w="5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20" w:type="dxa"/>
            <w:vAlign w:val="bottom"/>
            <w:gridSpan w:val="2"/>
            <w:vMerge w:val="continue"/>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280035</wp:posOffset>
            </wp:positionV>
            <wp:extent cx="3497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ATTACHMENTS: 2023 Equity Incentive Plan, as amended to the Date of Grant; Restricted Stock Units Agreement and Plan Prospectus</w:t>
      </w:r>
    </w:p>
    <w:p>
      <w:pPr>
        <w:sectPr>
          <w:pgSz w:w="11900" w:h="16838" w:orient="portrait"/>
          <w:cols w:equalWidth="0" w:num="1">
            <w:col w:w="11240"/>
          </w:cols>
          <w:pgMar w:left="320" w:top="100" w:right="3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RESTRICTED STOCK UNITS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(For U.S. Participants Executive and Board)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Paylocity Holding Corporation has granted to the Participant named in the </w:t>
      </w:r>
      <w:r>
        <w:rPr>
          <w:rFonts w:ascii="Times New Roman" w:cs="Times New Roman" w:eastAsia="Times New Roman" w:hAnsi="Times New Roman"/>
          <w:sz w:val="20"/>
          <w:szCs w:val="20"/>
          <w:i w:val="1"/>
          <w:iCs w:val="1"/>
          <w:color w:val="auto"/>
        </w:rPr>
        <w:t>Notice of Grant of Restricted Stock Units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Grant</w:t>
      </w:r>
    </w:p>
    <w:p>
      <w:pPr>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Notice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to which this Restricted Stock Units Agreement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is attached an Award consisting of Restricted Stock Units (each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Unit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subject to the terms and conditions set forth in the Grant Notice and this Agreement. The Award has been granted pursuant to and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shall in all respects be subject to the terms and conditions of the Paylocity Holding Corporation 2023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w:t>
      </w:r>
    </w:p>
    <w:p>
      <w:pPr>
        <w:spacing w:after="0" w:line="204" w:lineRule="auto"/>
        <w:rPr>
          <w:sz w:val="20"/>
          <w:szCs w:val="20"/>
          <w:color w:val="auto"/>
        </w:rPr>
      </w:pPr>
      <w:r>
        <w:rPr>
          <w:rFonts w:ascii="Times New Roman" w:cs="Times New Roman" w:eastAsia="Times New Roman" w:hAnsi="Times New Roman"/>
          <w:sz w:val="20"/>
          <w:szCs w:val="20"/>
          <w:color w:val="auto"/>
        </w:rPr>
        <w:t>amended to the Date of Grant, the provisions of which are incorporated herein by reference. By signing the Grant Notice, the Participant: (a) acknowledges receipt of and represents that the Participant has read and is familiar with the Grant Notice, this Agreement, the Plan and a</w:t>
      </w:r>
    </w:p>
    <w:p>
      <w:pPr>
        <w:spacing w:after="0" w:line="211" w:lineRule="auto"/>
        <w:rPr>
          <w:sz w:val="20"/>
          <w:szCs w:val="20"/>
          <w:color w:val="auto"/>
        </w:rPr>
      </w:pPr>
      <w:r>
        <w:rPr>
          <w:rFonts w:ascii="Times New Roman" w:cs="Times New Roman" w:eastAsia="Times New Roman" w:hAnsi="Times New Roman"/>
          <w:sz w:val="20"/>
          <w:szCs w:val="20"/>
          <w:color w:val="auto"/>
        </w:rPr>
        <w:t>prospectus for the Plan prepared in connection with the registration with the Securities and Exchange Commission of the shares issuable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pursuant to the Award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 Prospectus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(b) accepts the Award subject to all of the terms and conditions of the Grant Notice, this Agreement and the Plan and (c) agrees to accept as binding, conclusive and final all decisions or interpretations of the Committee upon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questions arising under the Grant Notice, this Agreement or the Plan.</w:t>
      </w:r>
    </w:p>
    <w:p>
      <w:pPr>
        <w:spacing w:after="0" w:line="176"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DEFINITIONS AND CONSTRUCTION</w:t>
      </w:r>
      <w:r>
        <w:rPr>
          <w:rFonts w:ascii="Times New Roman" w:cs="Times New Roman" w:eastAsia="Times New Roman" w:hAnsi="Times New Roman"/>
          <w:sz w:val="20"/>
          <w:szCs w:val="20"/>
          <w:b w:val="1"/>
          <w:bCs w:val="1"/>
          <w:color w:val="auto"/>
        </w:rPr>
        <w:t>.</w:t>
      </w:r>
    </w:p>
    <w:p>
      <w:pPr>
        <w:spacing w:after="0" w:line="16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Unless otherwise defined herein, capitalized terms shall have the meanings assigned to such terms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Grant Notice or the Plan.</w:t>
      </w:r>
    </w:p>
    <w:p>
      <w:pPr>
        <w:spacing w:after="0" w:line="134"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19"/>
          <w:szCs w:val="19"/>
          <w:b w:val="1"/>
          <w:bCs w:val="1"/>
          <w:color w:val="auto"/>
        </w:rPr>
        <w:t>Construction</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Captions and titles contained herein are for convenience only and shall not affect the meaning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0"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All questions of interpretation concerning the Grant Notice, this Agreement, the Plan or any other form of agreement or other document employed by the Company in the administration of the Plan or the Award shall be determined by the Committee. All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determinations by the Committee shall be final, binding and conclusive upon all persons having an interest in the Award, unless fraudulent or made in bad faith. Any and all actions, decisions and determinations taken or made by the Committee in the exercise of its discretion</w:t>
      </w:r>
    </w:p>
    <w:p>
      <w:pPr>
        <w:spacing w:after="0" w:line="223" w:lineRule="auto"/>
        <w:rPr>
          <w:sz w:val="20"/>
          <w:szCs w:val="20"/>
          <w:color w:val="auto"/>
        </w:rPr>
      </w:pPr>
      <w:r>
        <w:rPr>
          <w:rFonts w:ascii="Times New Roman" w:cs="Times New Roman" w:eastAsia="Times New Roman" w:hAnsi="Times New Roman"/>
          <w:sz w:val="19"/>
          <w:szCs w:val="19"/>
          <w:color w:val="auto"/>
        </w:rPr>
        <w:t>pursuant to the Plan or the Award or other agreement thereunder (other than determining questions of interpretation pursuant to the preceding</w:t>
      </w:r>
    </w:p>
    <w:p>
      <w:pPr>
        <w:spacing w:after="0" w:line="204" w:lineRule="auto"/>
        <w:rPr>
          <w:sz w:val="20"/>
          <w:szCs w:val="20"/>
          <w:color w:val="auto"/>
        </w:rPr>
      </w:pPr>
      <w:r>
        <w:rPr>
          <w:rFonts w:ascii="Times New Roman" w:cs="Times New Roman" w:eastAsia="Times New Roman" w:hAnsi="Times New Roman"/>
          <w:sz w:val="20"/>
          <w:szCs w:val="20"/>
          <w:color w:val="auto"/>
        </w:rPr>
        <w:t>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herein, provided the Officer has apparent authority with respect to such matter, right, obligation, or election.</w:t>
      </w:r>
    </w:p>
    <w:p>
      <w:pPr>
        <w:spacing w:after="0" w:line="176"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THE AWARD</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Grant of Units.</w:t>
      </w:r>
      <w:r>
        <w:rPr>
          <w:rFonts w:ascii="Times New Roman" w:cs="Times New Roman" w:eastAsia="Times New Roman" w:hAnsi="Times New Roman"/>
          <w:sz w:val="20"/>
          <w:szCs w:val="20"/>
          <w:color w:val="auto"/>
        </w:rPr>
        <w:t xml:space="preserve"> On the Date of Grant, the Participant shall acquire, subject to the provisions of this Agreement, the Total Number of Units set forth in the Grant Notice, subject to adjustment as provided in Section 10. Each Unit represents a right to receive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 date determined in accordance with the Grant Notice and this Agreement one (1) share of Stock.</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No Monetary Payment Required.</w:t>
      </w:r>
      <w:r>
        <w:rPr>
          <w:rFonts w:ascii="Times New Roman" w:cs="Times New Roman" w:eastAsia="Times New Roman" w:hAnsi="Times New Roman"/>
          <w:sz w:val="20"/>
          <w:szCs w:val="20"/>
          <w:color w:val="auto"/>
        </w:rPr>
        <w:t xml:space="preserve"> The Participant is not required to make any monetary payment (other than applicable tax withholding, if any) as a condition to receiving the Units or shares of Stock issued upon settlement of the Units, the</w:t>
      </w:r>
    </w:p>
    <w:p>
      <w:pPr>
        <w:spacing w:after="0" w:line="224" w:lineRule="auto"/>
        <w:rPr>
          <w:sz w:val="20"/>
          <w:szCs w:val="20"/>
          <w:color w:val="auto"/>
        </w:rPr>
      </w:pPr>
      <w:r>
        <w:rPr>
          <w:rFonts w:ascii="Times New Roman" w:cs="Times New Roman" w:eastAsia="Times New Roman" w:hAnsi="Times New Roman"/>
          <w:sz w:val="19"/>
          <w:szCs w:val="19"/>
          <w:color w:val="auto"/>
        </w:rPr>
        <w:t>consideration for which shall be past services actually rendered or future services to be rendered to a Participating Company or for its benefit.</w:t>
      </w:r>
    </w:p>
    <w:p>
      <w:pPr>
        <w:spacing w:after="0" w:line="215" w:lineRule="auto"/>
        <w:rPr>
          <w:sz w:val="20"/>
          <w:szCs w:val="20"/>
          <w:color w:val="auto"/>
        </w:rPr>
      </w:pPr>
      <w:r>
        <w:rPr>
          <w:rFonts w:ascii="Times New Roman" w:cs="Times New Roman" w:eastAsia="Times New Roman" w:hAnsi="Times New Roman"/>
          <w:sz w:val="19"/>
          <w:szCs w:val="19"/>
          <w:color w:val="auto"/>
        </w:rPr>
        <w:t>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w:t>
      </w:r>
    </w:p>
    <w:p>
      <w:pPr>
        <w:spacing w:after="0"/>
        <w:rPr>
          <w:sz w:val="20"/>
          <w:szCs w:val="20"/>
          <w:color w:val="auto"/>
        </w:rPr>
      </w:pPr>
      <w:r>
        <w:rPr>
          <w:rFonts w:ascii="Times New Roman" w:cs="Times New Roman" w:eastAsia="Times New Roman" w:hAnsi="Times New Roman"/>
          <w:sz w:val="20"/>
          <w:szCs w:val="20"/>
          <w:color w:val="auto"/>
        </w:rPr>
        <w:t>of the Units.</w:t>
      </w:r>
    </w:p>
    <w:p>
      <w:pPr>
        <w:sectPr>
          <w:pgSz w:w="11900" w:h="16838" w:orient="portrait"/>
          <w:cols w:equalWidth="0" w:num="1">
            <w:col w:w="11240"/>
          </w:cols>
          <w:pgMar w:left="320" w:top="139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OF UNITS</w:t>
      </w:r>
      <w:r>
        <w:rPr>
          <w:rFonts w:ascii="Times New Roman" w:cs="Times New Roman" w:eastAsia="Times New Roman" w:hAnsi="Times New Roman"/>
          <w:sz w:val="20"/>
          <w:szCs w:val="20"/>
          <w:b w:val="1"/>
          <w:bCs w:val="1"/>
          <w:color w:val="auto"/>
        </w:rPr>
        <w:t>.</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Units acquired pursuant to this Agreement shall become Vested Units as provided in the Grant Notice. In addition, Units acquired pursuant to this Agreement shall become Vested Units upon the Participant’s death or Disability (defined below) to the extent they have not</w:t>
      </w:r>
    </w:p>
    <w:p>
      <w:pPr>
        <w:spacing w:after="0" w:line="212" w:lineRule="auto"/>
        <w:rPr>
          <w:sz w:val="20"/>
          <w:szCs w:val="20"/>
          <w:color w:val="auto"/>
        </w:rPr>
      </w:pPr>
      <w:r>
        <w:rPr>
          <w:rFonts w:ascii="Times New Roman" w:cs="Times New Roman" w:eastAsia="Times New Roman" w:hAnsi="Times New Roman"/>
          <w:sz w:val="20"/>
          <w:szCs w:val="20"/>
          <w:color w:val="auto"/>
        </w:rPr>
        <w:t>otherwise become Vested Units. For purposes of determining the number of Vested Units following an Ownership Change Event, credited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Service shall include all Service with any corporation which is a Participating Company at the time the Service is rendered, whether or not such corporation is a Participating Company both before and after the Ownership Change Event. “Disability,” for purposes of accelerating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vesting, means the permanent and total disability of the Participant, within the meaning of Section 22(e)(3) of the Code.</w:t>
      </w:r>
    </w:p>
    <w:p>
      <w:pPr>
        <w:spacing w:after="0" w:line="176"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COMPANY REACQUISITION RIGHT</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Grant of Company Reacquisition Right.</w:t>
      </w:r>
      <w:r>
        <w:rPr>
          <w:rFonts w:ascii="Times New Roman" w:cs="Times New Roman" w:eastAsia="Times New Roman" w:hAnsi="Times New Roman"/>
          <w:sz w:val="20"/>
          <w:szCs w:val="20"/>
          <w:color w:val="auto"/>
        </w:rPr>
        <w:t xml:space="preserve"> Except to the extent otherwise provided by the Superseding Agreement, if any, in the event that the Participant’s Service terminates for any reason or no reason, with or without cause, the Participant shall forfeit and</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Company shall automatically reacquire all Units which are not, as of the time of such termination, Vested Units (</w:t>
      </w:r>
      <w:r>
        <w:rPr>
          <w:rFonts w:ascii="Times New Roman" w:cs="Times New Roman" w:eastAsia="Times New Roman" w:hAnsi="Times New Roman"/>
          <w:sz w:val="20"/>
          <w:szCs w:val="20"/>
          <w:b w:val="1"/>
          <w:bCs w:val="1"/>
          <w:i w:val="1"/>
          <w:iCs w:val="1"/>
          <w:color w:val="auto"/>
        </w:rPr>
        <w:t>“Unvested Units”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the Participant shall not be entitled to any payment therefor (the </w:t>
      </w:r>
      <w:r>
        <w:rPr>
          <w:rFonts w:ascii="Times New Roman" w:cs="Times New Roman" w:eastAsia="Times New Roman" w:hAnsi="Times New Roman"/>
          <w:sz w:val="20"/>
          <w:szCs w:val="20"/>
          <w:b w:val="1"/>
          <w:bCs w:val="1"/>
          <w:i w:val="1"/>
          <w:iCs w:val="1"/>
          <w:color w:val="auto"/>
        </w:rPr>
        <w:t>“Company Reacquisition Right”</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b w:val="1"/>
          <w:bCs w:val="1"/>
          <w:color w:val="auto"/>
        </w:rPr>
        <w:t>Ownership Change Event, Non-Cash Dividends, Distributions and Adjustments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occurrence of an</w:t>
      </w:r>
    </w:p>
    <w:p>
      <w:pPr>
        <w:spacing w:after="0" w:line="211" w:lineRule="auto"/>
        <w:rPr>
          <w:sz w:val="20"/>
          <w:szCs w:val="20"/>
          <w:color w:val="auto"/>
        </w:rPr>
      </w:pPr>
      <w:r>
        <w:rPr>
          <w:rFonts w:ascii="Times New Roman" w:cs="Times New Roman" w:eastAsia="Times New Roman" w:hAnsi="Times New Roman"/>
          <w:sz w:val="20"/>
          <w:szCs w:val="20"/>
          <w:color w:val="auto"/>
        </w:rPr>
        <w:t>Ownership Change Event, a dividend or distribution to the stockholders of the Company paid in shares of Stock or other property, or any</w:t>
      </w:r>
    </w:p>
    <w:p>
      <w:pPr>
        <w:spacing w:after="0" w:line="215" w:lineRule="auto"/>
        <w:rPr>
          <w:sz w:val="20"/>
          <w:szCs w:val="20"/>
          <w:color w:val="auto"/>
        </w:rPr>
      </w:pPr>
      <w:r>
        <w:rPr>
          <w:rFonts w:ascii="Times New Roman" w:cs="Times New Roman" w:eastAsia="Times New Roman" w:hAnsi="Times New Roman"/>
          <w:sz w:val="19"/>
          <w:szCs w:val="19"/>
          <w:color w:val="auto"/>
        </w:rPr>
        <w:t>other adjustment upon a change in the capital structure of the Company as described in Section 10, any and all new, substituted or additional securities or other property (other than regular, periodic cash dividends paid on Stock pursuant to the Company’s dividend policy) to which</w:t>
      </w:r>
    </w:p>
    <w:p>
      <w:pPr>
        <w:spacing w:after="0" w:line="211" w:lineRule="auto"/>
        <w:rPr>
          <w:sz w:val="20"/>
          <w:szCs w:val="20"/>
          <w:color w:val="auto"/>
        </w:rPr>
      </w:pPr>
      <w:r>
        <w:rPr>
          <w:rFonts w:ascii="Times New Roman" w:cs="Times New Roman" w:eastAsia="Times New Roman" w:hAnsi="Times New Roman"/>
          <w:sz w:val="20"/>
          <w:szCs w:val="20"/>
          <w:color w:val="auto"/>
        </w:rPr>
        <w:t>the Participant is entitled by reason of the Participant’s ownership of Unvested Units shall be immediately subject to the Company</w:t>
      </w:r>
    </w:p>
    <w:p>
      <w:pPr>
        <w:spacing w:after="0" w:line="204" w:lineRule="auto"/>
        <w:rPr>
          <w:sz w:val="20"/>
          <w:szCs w:val="20"/>
          <w:color w:val="auto"/>
        </w:rPr>
      </w:pPr>
      <w:r>
        <w:rPr>
          <w:rFonts w:ascii="Times New Roman" w:cs="Times New Roman" w:eastAsia="Times New Roman" w:hAnsi="Times New Roman"/>
          <w:sz w:val="20"/>
          <w:szCs w:val="20"/>
          <w:color w:val="auto"/>
        </w:rPr>
        <w:t>Reacquisition Right and included in the terms “Units” and “Unvested Units” for all purposes of the Company Reacquisition Right with the same force and effect as the Unvested Units immediately prior to the Ownership Change Event, dividend, distribution or adjustment, as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case may be. For purposes of determining the number of Vested Units following an Ownership Change Event, dividend, distribution or adjustment, credited Service shall include all Service with any corporation which is a Participating Company at the time the Service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rendered, whether or not such corporation is a Participating Company both before and after any such event.</w:t>
      </w:r>
    </w:p>
    <w:p>
      <w:pPr>
        <w:spacing w:after="0" w:line="163"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SETTLEMENT OF THE AWARD</w:t>
      </w:r>
      <w:r>
        <w:rPr>
          <w:rFonts w:ascii="Times New Roman" w:cs="Times New Roman" w:eastAsia="Times New Roman" w:hAnsi="Times New Roman"/>
          <w:sz w:val="20"/>
          <w:szCs w:val="20"/>
          <w:b w:val="1"/>
          <w:bCs w:val="1"/>
          <w:color w:val="auto"/>
        </w:rPr>
        <w:t>.</w:t>
      </w:r>
    </w:p>
    <w:p>
      <w:pPr>
        <w:spacing w:after="0" w:line="17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Issuance of Shares of Stock</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6.3, the Company shall issue to the Participant on the Settlement Date with respect to each Vested Unit to be settled on such date one (1) share of Stock. The Settlement Date with respect to a</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Unit shall be the date on which such Unit becomes a Vested Unit as provided by the Grant Notice (an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Original Settlement Date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provided, however, that if the Original Settlement Date would occur on a date on which a sale by the Participant of the shares to be issued in</w:t>
      </w:r>
    </w:p>
    <w:p>
      <w:pPr>
        <w:spacing w:after="0" w:line="222" w:lineRule="auto"/>
        <w:rPr>
          <w:sz w:val="20"/>
          <w:szCs w:val="20"/>
          <w:color w:val="auto"/>
        </w:rPr>
      </w:pPr>
      <w:r>
        <w:rPr>
          <w:rFonts w:ascii="Times New Roman" w:cs="Times New Roman" w:eastAsia="Times New Roman" w:hAnsi="Times New Roman"/>
          <w:sz w:val="19"/>
          <w:szCs w:val="19"/>
          <w:color w:val="auto"/>
        </w:rPr>
        <w:t>settlement of the Vested Units would violate the Trading Compliance Policy of the Company, the Settlement Date for such Vested Units shall</w:t>
      </w:r>
    </w:p>
    <w:p>
      <w:pPr>
        <w:spacing w:after="0" w:line="215" w:lineRule="auto"/>
        <w:rPr>
          <w:sz w:val="20"/>
          <w:szCs w:val="20"/>
          <w:color w:val="auto"/>
        </w:rPr>
      </w:pPr>
      <w:r>
        <w:rPr>
          <w:rFonts w:ascii="Times New Roman" w:cs="Times New Roman" w:eastAsia="Times New Roman" w:hAnsi="Times New Roman"/>
          <w:sz w:val="19"/>
          <w:szCs w:val="19"/>
          <w:color w:val="auto"/>
        </w:rPr>
        <w:t>be deferred until the next day on which the sale of such shares would not violate the Trading Compliance Policy, but in any event on or before the 15th day of the third calendar month following calendar year of the Original Settlement Date. Shares of Stock issued in settlement</w:t>
      </w:r>
    </w:p>
    <w:p>
      <w:pPr>
        <w:spacing w:after="0" w:line="228" w:lineRule="auto"/>
        <w:rPr>
          <w:sz w:val="20"/>
          <w:szCs w:val="20"/>
          <w:color w:val="auto"/>
        </w:rPr>
      </w:pPr>
      <w:r>
        <w:rPr>
          <w:rFonts w:ascii="Times New Roman" w:cs="Times New Roman" w:eastAsia="Times New Roman" w:hAnsi="Times New Roman"/>
          <w:sz w:val="20"/>
          <w:szCs w:val="20"/>
          <w:color w:val="auto"/>
        </w:rPr>
        <w:t>of Units shall not be subject to any restriction on transfer other than any such restriction as may be required pursuant to Section 6.3, Section 8 or the Company’s Trading Compliance Policy.</w:t>
      </w:r>
    </w:p>
    <w:p>
      <w:pPr>
        <w:spacing w:after="0" w:line="13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hereby authorizes the Company, in its</w:t>
      </w:r>
    </w:p>
    <w:p>
      <w:pPr>
        <w:spacing w:after="0" w:line="211" w:lineRule="auto"/>
        <w:rPr>
          <w:sz w:val="20"/>
          <w:szCs w:val="20"/>
          <w:color w:val="auto"/>
        </w:rPr>
      </w:pPr>
      <w:r>
        <w:rPr>
          <w:rFonts w:ascii="Times New Roman" w:cs="Times New Roman" w:eastAsia="Times New Roman" w:hAnsi="Times New Roman"/>
          <w:sz w:val="20"/>
          <w:szCs w:val="20"/>
          <w:color w:val="auto"/>
        </w:rPr>
        <w:t>sole discretion, to deposit any or all shares acquired by the Participant pursuant to the settlement of the Award with the Company’s transfer</w:t>
      </w:r>
    </w:p>
    <w:p>
      <w:pPr>
        <w:spacing w:after="0" w:line="204" w:lineRule="auto"/>
        <w:rPr>
          <w:sz w:val="20"/>
          <w:szCs w:val="20"/>
          <w:color w:val="auto"/>
        </w:rPr>
      </w:pPr>
      <w:r>
        <w:rPr>
          <w:rFonts w:ascii="Times New Roman" w:cs="Times New Roman" w:eastAsia="Times New Roman" w:hAnsi="Times New Roman"/>
          <w:sz w:val="20"/>
          <w:szCs w:val="20"/>
          <w:color w:val="auto"/>
        </w:rPr>
        <w:t>agent, including any successor transfer agent, to be held in book entry form, or to deposit such shares for the benefit of the Participant with any broker with which the Participant has an account relationship of which the Company has notice. Except as provided by the foregoing, a</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certificate for the shares acquired by the Participant shall be registered in the name of the Participant, or, if applicable, in the names of the heirs of the Participant.</w:t>
      </w:r>
    </w:p>
    <w:p>
      <w:pPr>
        <w:sectPr>
          <w:pgSz w:w="11900" w:h="16838" w:orient="portrait"/>
          <w:cols w:equalWidth="0" w:num="1">
            <w:col w:w="11240"/>
          </w:cols>
          <w:pgMar w:left="320" w:top="1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b w:val="1"/>
          <w:bCs w:val="1"/>
          <w:color w:val="auto"/>
        </w:rPr>
        <w:t>Restrictions on Grant of the Award and 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of the Award and issuance of shares of</w:t>
      </w:r>
    </w:p>
    <w:p>
      <w:pPr>
        <w:spacing w:after="0" w:line="204" w:lineRule="auto"/>
        <w:rPr>
          <w:sz w:val="20"/>
          <w:szCs w:val="20"/>
          <w:color w:val="auto"/>
        </w:rPr>
      </w:pPr>
      <w:r>
        <w:rPr>
          <w:rFonts w:ascii="Times New Roman" w:cs="Times New Roman" w:eastAsia="Times New Roman" w:hAnsi="Times New Roman"/>
          <w:sz w:val="20"/>
          <w:szCs w:val="20"/>
          <w:color w:val="auto"/>
        </w:rPr>
        <w:t>Stock upon settlement of the Award shall be subject to compliance with all applicable requirements of federal, state or foreign law with respect to such securities. No shares of Stock may be issued hereunder if the issuance of such shares would constitute a violation of any</w:t>
      </w:r>
    </w:p>
    <w:p>
      <w:pPr>
        <w:spacing w:after="0" w:line="211" w:lineRule="auto"/>
        <w:rPr>
          <w:sz w:val="20"/>
          <w:szCs w:val="20"/>
          <w:color w:val="auto"/>
        </w:rPr>
      </w:pPr>
      <w:r>
        <w:rPr>
          <w:rFonts w:ascii="Times New Roman" w:cs="Times New Roman" w:eastAsia="Times New Roman" w:hAnsi="Times New Roman"/>
          <w:sz w:val="20"/>
          <w:szCs w:val="20"/>
          <w:color w:val="auto"/>
        </w:rPr>
        <w:t>applicable federal, state or foreign securities laws or other law or regulations or the requirements of any stock exchange or market system</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upon which the Stock may then be listed. The inability of the Company to obtain from any regulatory body having jurisdiction the authority, if any, deemed by the Company’s legal counsel to be necessary to the lawful issuance of any shares subject to the Award shall relieve the</w:t>
      </w:r>
    </w:p>
    <w:p>
      <w:pPr>
        <w:spacing w:after="0" w:line="211" w:lineRule="auto"/>
        <w:rPr>
          <w:sz w:val="20"/>
          <w:szCs w:val="20"/>
          <w:color w:val="auto"/>
        </w:rPr>
      </w:pPr>
      <w:r>
        <w:rPr>
          <w:rFonts w:ascii="Times New Roman" w:cs="Times New Roman" w:eastAsia="Times New Roman" w:hAnsi="Times New Roman"/>
          <w:sz w:val="20"/>
          <w:szCs w:val="20"/>
          <w:color w:val="auto"/>
        </w:rPr>
        <w:t>Company of any liability in respect of the failure to issue such shares as to which such requisite authority shall not have been obtained. As a</w:t>
      </w:r>
    </w:p>
    <w:p>
      <w:pPr>
        <w:spacing w:after="0" w:line="215" w:lineRule="auto"/>
        <w:rPr>
          <w:sz w:val="20"/>
          <w:szCs w:val="20"/>
          <w:color w:val="auto"/>
        </w:rPr>
      </w:pPr>
      <w:r>
        <w:rPr>
          <w:rFonts w:ascii="Times New Roman" w:cs="Times New Roman" w:eastAsia="Times New Roman" w:hAnsi="Times New Roman"/>
          <w:sz w:val="19"/>
          <w:szCs w:val="19"/>
          <w:color w:val="auto"/>
        </w:rPr>
        <w:t>condition to the settlement of the Award, the Company may require the Participant to satisfy any qualifications that may be necessary or appropriate, to evidence compliance with any applicable law or regulation and to make any representation or warranty with respect thereto as</w:t>
      </w:r>
    </w:p>
    <w:p>
      <w:pPr>
        <w:spacing w:after="0"/>
        <w:rPr>
          <w:sz w:val="20"/>
          <w:szCs w:val="20"/>
          <w:color w:val="auto"/>
        </w:rPr>
      </w:pPr>
      <w:r>
        <w:rPr>
          <w:rFonts w:ascii="Times New Roman" w:cs="Times New Roman" w:eastAsia="Times New Roman" w:hAnsi="Times New Roman"/>
          <w:sz w:val="20"/>
          <w:szCs w:val="20"/>
          <w:color w:val="auto"/>
        </w:rPr>
        <w:t>may be requested by the Company.</w:t>
      </w:r>
    </w:p>
    <w:p>
      <w:pPr>
        <w:spacing w:after="0" w:line="16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b w:val="1"/>
          <w:bCs w:val="1"/>
          <w:color w:val="auto"/>
        </w:rPr>
        <w:t>Fractional Shares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not be required to issue fractional shares upon the settlement of the Award.</w:t>
      </w:r>
    </w:p>
    <w:p>
      <w:pPr>
        <w:spacing w:after="0" w:line="17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PARTICIPANT COVENANTS</w:t>
      </w:r>
      <w:r>
        <w:rPr>
          <w:rFonts w:ascii="Times New Roman" w:cs="Times New Roman" w:eastAsia="Times New Roman" w:hAnsi="Times New Roman"/>
          <w:sz w:val="20"/>
          <w:szCs w:val="20"/>
          <w:b w:val="1"/>
          <w:bCs w:val="1"/>
          <w:color w:val="auto"/>
        </w:rPr>
        <w:t>.</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b w:val="1"/>
          <w:bCs w:val="1"/>
          <w:color w:val="auto"/>
        </w:rPr>
        <w:t xml:space="preserve">Covenant Not to Disclose. </w:t>
      </w:r>
      <w:r>
        <w:rPr>
          <w:rFonts w:ascii="Times New Roman" w:cs="Times New Roman" w:eastAsia="Times New Roman" w:hAnsi="Times New Roman"/>
          <w:sz w:val="20"/>
          <w:szCs w:val="20"/>
          <w:color w:val="auto"/>
        </w:rPr>
        <w:t>The Participant acknowledges that as a result of the Participant’s employment with</w:t>
      </w:r>
    </w:p>
    <w:p>
      <w:pPr>
        <w:spacing w:after="0" w:line="204" w:lineRule="auto"/>
        <w:rPr>
          <w:sz w:val="20"/>
          <w:szCs w:val="20"/>
          <w:color w:val="auto"/>
        </w:rPr>
      </w:pPr>
      <w:r>
        <w:rPr>
          <w:rFonts w:ascii="Times New Roman" w:cs="Times New Roman" w:eastAsia="Times New Roman" w:hAnsi="Times New Roman"/>
          <w:sz w:val="20"/>
          <w:szCs w:val="20"/>
          <w:color w:val="auto"/>
        </w:rPr>
        <w:t>Paylocity Corporation, an Illinois corporation (“</w:t>
      </w:r>
      <w:r>
        <w:rPr>
          <w:rFonts w:ascii="Times New Roman" w:cs="Times New Roman" w:eastAsia="Times New Roman" w:hAnsi="Times New Roman"/>
          <w:sz w:val="20"/>
          <w:szCs w:val="20"/>
          <w:b w:val="1"/>
          <w:bCs w:val="1"/>
          <w:i w:val="1"/>
          <w:iCs w:val="1"/>
          <w:color w:val="auto"/>
        </w:rPr>
        <w:t>Paylocity</w:t>
      </w:r>
      <w:r>
        <w:rPr>
          <w:rFonts w:ascii="Times New Roman" w:cs="Times New Roman" w:eastAsia="Times New Roman" w:hAnsi="Times New Roman"/>
          <w:sz w:val="20"/>
          <w:szCs w:val="20"/>
          <w:color w:val="auto"/>
        </w:rPr>
        <w:t>”), the Participant has gained access to Paylocity’s Confidential Information (defined below). During the Participant’s employment and thereafter, the Participant will not use, disclose, or reveal to any person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Confidential Information except when acting within the scope of the Participant’s duties or with prior written authorization from Paylocity’s Chief Human Resources Officer.</w:t>
      </w:r>
    </w:p>
    <w:p>
      <w:pPr>
        <w:spacing w:after="0" w:line="158" w:lineRule="exact"/>
        <w:rPr>
          <w:sz w:val="20"/>
          <w:szCs w:val="20"/>
          <w:color w:val="auto"/>
        </w:rPr>
      </w:pPr>
    </w:p>
    <w:p>
      <w:pPr>
        <w:jc w:val="both"/>
        <w:ind w:firstLine="1952"/>
        <w:spacing w:after="0" w:line="211" w:lineRule="auto"/>
        <w:tabs>
          <w:tab w:leader="none" w:pos="258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all information belonging to,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relating to the business of Paylocity (including information received in confidence by Paylocity from its customers or suppliers or other third parties), which is not generally known, regardless of the manner in which it is stored or conveyed to the Participant, and which Paylocity has taken reasonable measures under the circumstances to protect from unauthorized use or disclosure, including, without limitation, Paylocity’s trade secrets, intellectual property, formulae and processes, customer and employee information, pricing information, business and marketing strategies, proprietary information and know-how, unpublished or pending patent applications and all related patent rights, discoveries, software code, formulas and processes relating to Paylocity’s business. Confidential Information does not include information that: (i) was generally known to the relevant public at the time of disclosure through no fault of the Participant; (ii) was lawfully received by the Participant from a third party; (iii) was known to the Participant prior to receipt from Paylocity; or (iv) was independently developed by the Participant or independent third parties. In each of the foregoing circumstances, this exception applies only if such public knowledge or possession by an independent third party was without breach by the Participant or any third party of any obligation of confidentiality or non-use, including the obligations and restrictions provided in this Agreement.</w:t>
      </w:r>
    </w:p>
    <w:p>
      <w:pPr>
        <w:spacing w:after="0" w:line="159"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Scope of Non-Disclosure; Return of Company Property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Nothing in this Section shall be deemed to limit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Participant’s non-disclosure obligations under any applicable rule, statute, regulation, agreement or other Paylocity policy, or to prevent the Participant from providing truthful information to a government authority or in response to a valid subpoena or other court process. Upon termination of the Participant’s employment with Paylocity for any reason, the Participant will immediately return to Paylocity all Paylocity property, including, without limitation, all Confidential Information. The Participant understands that the 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ectPr>
          <w:pgSz w:w="11900" w:h="16838" w:orient="portrait"/>
          <w:cols w:equalWidth="0" w:num="1">
            <w:col w:w="11240"/>
          </w:cols>
          <w:pgMar w:left="320" w:top="1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19"/>
          <w:szCs w:val="19"/>
          <w:b w:val="1"/>
          <w:bCs w:val="1"/>
          <w:color w:val="auto"/>
        </w:rPr>
        <w:t>Covenants Not to Solicit.</w:t>
      </w:r>
    </w:p>
    <w:p>
      <w:pPr>
        <w:spacing w:after="0" w:line="193" w:lineRule="exact"/>
        <w:rPr>
          <w:sz w:val="20"/>
          <w:szCs w:val="20"/>
          <w:color w:val="auto"/>
        </w:rPr>
      </w:pPr>
    </w:p>
    <w:p>
      <w:pPr>
        <w:jc w:val="both"/>
        <w:ind w:firstLine="1952"/>
        <w:spacing w:after="0" w:line="227" w:lineRule="auto"/>
        <w:tabs>
          <w:tab w:leader="none" w:pos="258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i w:val="1"/>
          <w:iCs w:val="1"/>
          <w:color w:val="auto"/>
        </w:rPr>
        <w:t xml:space="preserve">Customer Non-Solicitation. </w:t>
      </w:r>
      <w:r>
        <w:rPr>
          <w:rFonts w:ascii="Times New Roman" w:cs="Times New Roman" w:eastAsia="Times New Roman" w:hAnsi="Times New Roman"/>
          <w:sz w:val="19"/>
          <w:szCs w:val="19"/>
          <w:color w:val="auto"/>
        </w:rPr>
        <w:t>During employment with Paylocity and for a period of twenty-four (24) months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following the termination of employment for any reason, the Participant agrees not to directly or indirectly contact, solicit or accept business from any of Paylocity’s customers, prospective customers, brokers, brokerage firms, business partners, business associates, or end users, with whom the Participant had direct or indirect contact or solicited on behalf of Paylocity in the twelve (12) months prior to the Participant’s termination, for the purpose of selling or soliciting products or services that are in competition with the products or services of Paylocity.</w:t>
      </w:r>
    </w:p>
    <w:p>
      <w:pPr>
        <w:spacing w:after="0" w:line="173" w:lineRule="exact"/>
        <w:rPr>
          <w:rFonts w:ascii="Times New Roman" w:cs="Times New Roman" w:eastAsia="Times New Roman" w:hAnsi="Times New Roman"/>
          <w:sz w:val="21"/>
          <w:szCs w:val="21"/>
          <w:color w:val="auto"/>
        </w:rPr>
      </w:pPr>
    </w:p>
    <w:p>
      <w:pPr>
        <w:jc w:val="both"/>
        <w:ind w:firstLine="1952"/>
        <w:spacing w:after="0" w:line="213" w:lineRule="auto"/>
        <w:tabs>
          <w:tab w:leader="none" w:pos="25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 xml:space="preserve">Employee Non-Solicitation. </w:t>
      </w:r>
      <w:r>
        <w:rPr>
          <w:rFonts w:ascii="Times New Roman" w:cs="Times New Roman" w:eastAsia="Times New Roman" w:hAnsi="Times New Roman"/>
          <w:sz w:val="20"/>
          <w:szCs w:val="20"/>
          <w:color w:val="auto"/>
        </w:rPr>
        <w:t>During employment with Paylocity and for a period of twenty-four (24) months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following the termination of employment for any reason, the Participant agrees not to directly or indirectly contact, solicit or recruit any employees or exclusive independent contractors of Paylocity with whom the Participant worked or had contact during the twelve (12) months preceding the termination of the Participant’s employment, for the purpose of causing, inviting or encouraging any such employee to (i) terminate his or her employment or business relationship with Paylocity; and/or (ii) become employed or engaged by a person or entity that sells Competing Products (as defined below).</w:t>
      </w:r>
    </w:p>
    <w:p>
      <w:pPr>
        <w:spacing w:after="0" w:line="158" w:lineRule="exact"/>
        <w:rPr>
          <w:sz w:val="20"/>
          <w:szCs w:val="20"/>
          <w:color w:val="auto"/>
        </w:rPr>
      </w:pPr>
    </w:p>
    <w:p>
      <w:pPr>
        <w:ind w:firstLine="1296"/>
        <w:spacing w:after="0" w:line="226"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19"/>
          <w:szCs w:val="19"/>
          <w:b w:val="1"/>
          <w:bCs w:val="1"/>
          <w:color w:val="auto"/>
        </w:rPr>
        <w:t>Covenant Not to Compete.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During employment with Paylocity and for a period of twelve (12) months following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termination of employment for any reason, the Participant agrees not to directly or indirectly, on behalf of Participant or in conjunction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 any other person or entity: (i) own any business (other than less than 3% ownership in a publicly traded company) that sells Competing Products in the Restricted Territory; or (ii) work in the Restricted Territory (whether as an employee, independent contractor, consultant, or</w:t>
      </w:r>
    </w:p>
    <w:p>
      <w:pPr>
        <w:spacing w:after="0" w:line="211" w:lineRule="auto"/>
        <w:rPr>
          <w:sz w:val="20"/>
          <w:szCs w:val="20"/>
          <w:color w:val="auto"/>
        </w:rPr>
      </w:pPr>
      <w:r>
        <w:rPr>
          <w:rFonts w:ascii="Times New Roman" w:cs="Times New Roman" w:eastAsia="Times New Roman" w:hAnsi="Times New Roman"/>
          <w:sz w:val="20"/>
          <w:szCs w:val="20"/>
          <w:color w:val="auto"/>
        </w:rPr>
        <w:t>otherwise) for any person or entity that sells Competing Products, in any role: (y) that is similar to any position held with the Company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during the twenty-four (24) months preceding the termination of the Participant’s employment, or (z) in which it would be beneficial for the Participant to use or rely upon Paylocity’s Confidential Information. The term “</w:t>
      </w:r>
      <w:r>
        <w:rPr>
          <w:rFonts w:ascii="Times New Roman" w:cs="Times New Roman" w:eastAsia="Times New Roman" w:hAnsi="Times New Roman"/>
          <w:sz w:val="19"/>
          <w:szCs w:val="19"/>
          <w:b w:val="1"/>
          <w:bCs w:val="1"/>
          <w:i w:val="1"/>
          <w:iCs w:val="1"/>
          <w:color w:val="auto"/>
        </w:rPr>
        <w:t>Competing Products</w:t>
      </w:r>
      <w:r>
        <w:rPr>
          <w:rFonts w:ascii="Times New Roman" w:cs="Times New Roman" w:eastAsia="Times New Roman" w:hAnsi="Times New Roman"/>
          <w:sz w:val="19"/>
          <w:szCs w:val="19"/>
          <w:color w:val="auto"/>
        </w:rPr>
        <w:t>” shall mean products or services sold by</w:t>
      </w:r>
    </w:p>
    <w:p>
      <w:pPr>
        <w:spacing w:after="0" w:line="211" w:lineRule="auto"/>
        <w:rPr>
          <w:sz w:val="20"/>
          <w:szCs w:val="20"/>
          <w:color w:val="auto"/>
        </w:rPr>
      </w:pPr>
      <w:r>
        <w:rPr>
          <w:rFonts w:ascii="Times New Roman" w:cs="Times New Roman" w:eastAsia="Times New Roman" w:hAnsi="Times New Roman"/>
          <w:sz w:val="20"/>
          <w:szCs w:val="20"/>
          <w:color w:val="auto"/>
        </w:rPr>
        <w:t>Paylocity, or any prospective product or service Paylocity took steps to develop, and for which the Participant had any responsibility during</w:t>
      </w:r>
    </w:p>
    <w:p>
      <w:pPr>
        <w:spacing w:after="0" w:line="204" w:lineRule="auto"/>
        <w:rPr>
          <w:sz w:val="20"/>
          <w:szCs w:val="20"/>
          <w:color w:val="auto"/>
        </w:rPr>
      </w:pPr>
      <w:r>
        <w:rPr>
          <w:rFonts w:ascii="Times New Roman" w:cs="Times New Roman" w:eastAsia="Times New Roman" w:hAnsi="Times New Roman"/>
          <w:sz w:val="20"/>
          <w:szCs w:val="20"/>
          <w:color w:val="auto"/>
        </w:rPr>
        <w:t>the twenty-four (24) months preceding the termination of the Participant’s employment, including, without limitation, any products or services related to software solutions for payroll, human capital management, human resources, benefits, time and labor, and talent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management. The term “</w:t>
      </w:r>
      <w:r>
        <w:rPr>
          <w:rFonts w:ascii="Times New Roman" w:cs="Times New Roman" w:eastAsia="Times New Roman" w:hAnsi="Times New Roman"/>
          <w:sz w:val="20"/>
          <w:szCs w:val="20"/>
          <w:b w:val="1"/>
          <w:bCs w:val="1"/>
          <w:i w:val="1"/>
          <w:iCs w:val="1"/>
          <w:color w:val="auto"/>
        </w:rPr>
        <w:t>Restricted Territory</w:t>
      </w:r>
      <w:r>
        <w:rPr>
          <w:rFonts w:ascii="Times New Roman" w:cs="Times New Roman" w:eastAsia="Times New Roman" w:hAnsi="Times New Roman"/>
          <w:sz w:val="20"/>
          <w:szCs w:val="20"/>
          <w:color w:val="auto"/>
        </w:rPr>
        <w:t>” shall mean the geographic territory over which the Participant had responsibility during the twenty-four (24) months preceding the termination of the Participant’s employment.</w:t>
      </w:r>
    </w:p>
    <w:p>
      <w:pPr>
        <w:spacing w:after="0" w:line="157" w:lineRule="exact"/>
        <w:rPr>
          <w:sz w:val="20"/>
          <w:szCs w:val="20"/>
          <w:color w:val="auto"/>
        </w:rPr>
      </w:pPr>
    </w:p>
    <w:p>
      <w:pPr>
        <w:ind w:firstLine="1296"/>
        <w:spacing w:after="0" w:line="22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19"/>
          <w:szCs w:val="19"/>
          <w:b w:val="1"/>
          <w:bCs w:val="1"/>
          <w:color w:val="auto"/>
        </w:rPr>
        <w:t>Acknowledgments.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Participant acknowledges that: (i) the covenants of this Section 7 are supported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sufficient consideration, including access to Paylocity’s Legitimate Business Interests (defined below), and the Units awarded under this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(ii) Paylocity has invested substantial resources into the development, protection and retention of its Confidential Information, employees, customers, and business (collectively, “</w:t>
      </w:r>
      <w:r>
        <w:rPr>
          <w:rFonts w:ascii="Times New Roman" w:cs="Times New Roman" w:eastAsia="Times New Roman" w:hAnsi="Times New Roman"/>
          <w:sz w:val="20"/>
          <w:szCs w:val="20"/>
          <w:b w:val="1"/>
          <w:bCs w:val="1"/>
          <w:i w:val="1"/>
          <w:iCs w:val="1"/>
          <w:color w:val="auto"/>
        </w:rPr>
        <w:t>Legitimate Business Interests</w:t>
      </w:r>
      <w:r>
        <w:rPr>
          <w:rFonts w:ascii="Times New Roman" w:cs="Times New Roman" w:eastAsia="Times New Roman" w:hAnsi="Times New Roman"/>
          <w:sz w:val="20"/>
          <w:szCs w:val="20"/>
          <w:color w:val="auto"/>
        </w:rPr>
        <w:t>”); (iii) the Legitimate Business Interests have significant</w:t>
      </w:r>
    </w:p>
    <w:p>
      <w:pPr>
        <w:spacing w:after="0" w:line="211" w:lineRule="auto"/>
        <w:rPr>
          <w:sz w:val="20"/>
          <w:szCs w:val="20"/>
          <w:color w:val="auto"/>
        </w:rPr>
      </w:pPr>
      <w:r>
        <w:rPr>
          <w:rFonts w:ascii="Times New Roman" w:cs="Times New Roman" w:eastAsia="Times New Roman" w:hAnsi="Times New Roman"/>
          <w:sz w:val="20"/>
          <w:szCs w:val="20"/>
          <w:color w:val="auto"/>
        </w:rPr>
        <w:t>intrinsic value and are not readily achieved or duplicated; (iv) solely as a result of the Participant’s employment with Paylocity,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Participant has gained access to and familiarity with the Legitimate Business Interests; (v) the covenants of this Section 7 are therefore reasonable and necessary to protect the Legitimate Business Interests, and they are enforceable; and (vi) the provisions of this Section 7 do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restrain competition, limit the Participant’s ability to obtain employment of the Participant’s choosing or affect the Participant’s wages.</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0"/>
          <w:szCs w:val="20"/>
          <w:b w:val="1"/>
          <w:bCs w:val="1"/>
          <w:color w:val="auto"/>
        </w:rPr>
        <w:t xml:space="preserve">Remedies and Relief. </w:t>
      </w:r>
      <w:r>
        <w:rPr>
          <w:rFonts w:ascii="Times New Roman" w:cs="Times New Roman" w:eastAsia="Times New Roman" w:hAnsi="Times New Roman"/>
          <w:sz w:val="20"/>
          <w:szCs w:val="20"/>
          <w:color w:val="auto"/>
        </w:rPr>
        <w:t>In the event of any breach by the Participant of the provisions of this Section 7: (i) the</w:t>
      </w:r>
    </w:p>
    <w:p>
      <w:pPr>
        <w:spacing w:after="0" w:line="215" w:lineRule="auto"/>
        <w:rPr>
          <w:sz w:val="20"/>
          <w:szCs w:val="20"/>
          <w:color w:val="auto"/>
        </w:rPr>
      </w:pPr>
      <w:r>
        <w:rPr>
          <w:rFonts w:ascii="Times New Roman" w:cs="Times New Roman" w:eastAsia="Times New Roman" w:hAnsi="Times New Roman"/>
          <w:sz w:val="19"/>
          <w:szCs w:val="19"/>
          <w:color w:val="auto"/>
        </w:rPr>
        <w:t>Company shall have the right to require the Participant to deliver to the Company: (a) all Units granted to the Participant in the three (3) years preceding said breach; and (b) to the extent the Participant has disposed of any Units so granted or shares of Stock issued in settlement</w:t>
      </w:r>
    </w:p>
    <w:p>
      <w:pPr>
        <w:spacing w:after="0" w:line="228" w:lineRule="auto"/>
        <w:rPr>
          <w:sz w:val="20"/>
          <w:szCs w:val="20"/>
          <w:color w:val="auto"/>
        </w:rPr>
      </w:pPr>
      <w:r>
        <w:rPr>
          <w:rFonts w:ascii="Times New Roman" w:cs="Times New Roman" w:eastAsia="Times New Roman" w:hAnsi="Times New Roman"/>
          <w:sz w:val="20"/>
          <w:szCs w:val="20"/>
          <w:color w:val="auto"/>
        </w:rPr>
        <w:t>of such Units, the net proceeds from all such dispositions; and (ii) any unvested Units shall be immediately forfeited (collectively, the “</w:t>
      </w:r>
      <w:r>
        <w:rPr>
          <w:rFonts w:ascii="Times New Roman" w:cs="Times New Roman" w:eastAsia="Times New Roman" w:hAnsi="Times New Roman"/>
          <w:sz w:val="20"/>
          <w:szCs w:val="20"/>
          <w:b w:val="1"/>
          <w:bCs w:val="1"/>
          <w:i w:val="1"/>
          <w:iCs w:val="1"/>
          <w:color w:val="auto"/>
        </w:rPr>
        <w:t>Repayment Obligation</w:t>
      </w:r>
      <w:r>
        <w:rPr>
          <w:rFonts w:ascii="Times New Roman" w:cs="Times New Roman" w:eastAsia="Times New Roman" w:hAnsi="Times New Roman"/>
          <w:sz w:val="20"/>
          <w:szCs w:val="20"/>
          <w:color w:val="auto"/>
        </w:rPr>
        <w:t>”). The determination of whether the</w:t>
      </w:r>
    </w:p>
    <w:p>
      <w:pPr>
        <w:sectPr>
          <w:pgSz w:w="11900" w:h="16838" w:orient="portrait"/>
          <w:cols w:equalWidth="0" w:num="1">
            <w:col w:w="11240"/>
          </w:cols>
          <w:pgMar w:left="320" w:top="1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has engaged in a breach of Section 7 shall be determined by the Committee in its sole discretion. Any repayment obligations</w:t>
      </w:r>
    </w:p>
    <w:p>
      <w:pPr>
        <w:jc w:val="both"/>
        <w:spacing w:after="0" w:line="215" w:lineRule="auto"/>
        <w:rPr>
          <w:sz w:val="20"/>
          <w:szCs w:val="20"/>
          <w:color w:val="auto"/>
        </w:rPr>
      </w:pPr>
      <w:r>
        <w:rPr>
          <w:rFonts w:ascii="Times New Roman" w:cs="Times New Roman" w:eastAsia="Times New Roman" w:hAnsi="Times New Roman"/>
          <w:sz w:val="19"/>
          <w:szCs w:val="19"/>
          <w:color w:val="auto"/>
        </w:rPr>
        <w:t>under this Section 7 shall be effected by the Participant within thirty (30) days of receipt of the Company’s written demand for repayment. The Company may provide for an offset to any future payments owed by the Participating Company Group to the Participant, if necessary, to</w:t>
      </w:r>
    </w:p>
    <w:p>
      <w:pPr>
        <w:spacing w:after="0" w:line="222" w:lineRule="auto"/>
        <w:rPr>
          <w:sz w:val="20"/>
          <w:szCs w:val="20"/>
          <w:color w:val="auto"/>
        </w:rPr>
      </w:pPr>
      <w:r>
        <w:rPr>
          <w:rFonts w:ascii="Times New Roman" w:cs="Times New Roman" w:eastAsia="Times New Roman" w:hAnsi="Times New Roman"/>
          <w:sz w:val="19"/>
          <w:szCs w:val="19"/>
          <w:color w:val="auto"/>
        </w:rPr>
        <w:t>satisfy the Repayment Obligation. The Participant agrees to execute such documents as may be necessary to effect the repayment obligations</w:t>
      </w:r>
    </w:p>
    <w:p>
      <w:pPr>
        <w:jc w:val="both"/>
        <w:spacing w:after="0" w:line="204" w:lineRule="auto"/>
        <w:rPr>
          <w:sz w:val="20"/>
          <w:szCs w:val="20"/>
          <w:color w:val="auto"/>
        </w:rPr>
      </w:pPr>
      <w:r>
        <w:rPr>
          <w:rFonts w:ascii="Times New Roman" w:cs="Times New Roman" w:eastAsia="Times New Roman" w:hAnsi="Times New Roman"/>
          <w:sz w:val="20"/>
          <w:szCs w:val="20"/>
          <w:color w:val="auto"/>
        </w:rPr>
        <w:t>referred to in this Section. Nothing in this Section 7 shall limit Paylocity from pursuing any other remedies otherwise available in law or in equity, including a temporary retaining order, a preliminary injunction, and a permanent injunction enjoining Participant’s breach 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threatened breach of any of the provisions of this Agreement or from seeking enforcement of any other restrictions by which the Participant is bound under other agreements or applicable law.</w:t>
      </w:r>
    </w:p>
    <w:p>
      <w:pPr>
        <w:spacing w:after="0" w:line="144"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If any provision of this Agreement is held to be unenforceable, such provision will be distinct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severable from the other provisions of this Agreement, and such unenforceability will not affect the validity and enforceability of the remaining provisions. If a court holds that the duration, scope, geographic range or any other restriction stated in any provision of this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Agreement is unreasonable under circumstances then existing, the parties agree that the maximum duration, scope, geographic range or other restriction that the court deems reasonable under such circumstances will be substituted and that the court will have the power to revise any</w:t>
      </w:r>
    </w:p>
    <w:p>
      <w:pPr>
        <w:spacing w:after="0" w:line="211" w:lineRule="auto"/>
        <w:rPr>
          <w:sz w:val="20"/>
          <w:szCs w:val="20"/>
          <w:color w:val="auto"/>
        </w:rPr>
      </w:pPr>
      <w:r>
        <w:rPr>
          <w:rFonts w:ascii="Times New Roman" w:cs="Times New Roman" w:eastAsia="Times New Roman" w:hAnsi="Times New Roman"/>
          <w:sz w:val="20"/>
          <w:szCs w:val="20"/>
          <w:color w:val="auto"/>
        </w:rPr>
        <w:t>of those restrictions to cover the maximum period, scope, geographic range and/or other restriction permitted by law. It is the intent of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parties that the court, in establishing any such substitute restriction, recognize that the parties’ desire is that the stated restrictions upon which the parties have agreed be honored to the maximum lawful extent.</w:t>
      </w:r>
    </w:p>
    <w:p>
      <w:pPr>
        <w:spacing w:after="0" w:line="157"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19"/>
          <w:szCs w:val="19"/>
          <w:b w:val="1"/>
          <w:bCs w:val="1"/>
          <w:color w:val="auto"/>
        </w:rPr>
        <w:t>Tolling</w:t>
      </w:r>
      <w:r>
        <w:rPr>
          <w:rFonts w:ascii="Times New Roman" w:cs="Times New Roman" w:eastAsia="Times New Roman" w:hAnsi="Times New Roman"/>
          <w:sz w:val="19"/>
          <w:szCs w:val="19"/>
          <w:color w:val="auto"/>
        </w:rPr>
        <w:t>. The restricted time periods in Section 7 shall be tolled during any time period that Participant is in violation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such covenants, as determined by a court of competent jurisdiction, so that Paylocity may realize the full benefit of its bargain. This tolling</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shall include any time period during which litigation is pending, and during which Participant has continued to violate such protective covenants.</w:t>
      </w:r>
    </w:p>
    <w:p>
      <w:pPr>
        <w:spacing w:after="0" w:line="171"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ind w:firstLine="1296"/>
        <w:spacing w:after="0" w:line="229"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b w:val="1"/>
          <w:bCs w:val="1"/>
          <w:color w:val="auto"/>
        </w:rPr>
        <w:t>In General.</w:t>
      </w:r>
      <w:r>
        <w:rPr>
          <w:rFonts w:ascii="Times New Roman" w:cs="Times New Roman" w:eastAsia="Times New Roman" w:hAnsi="Times New Roman"/>
          <w:sz w:val="19"/>
          <w:szCs w:val="19"/>
          <w:color w:val="auto"/>
        </w:rPr>
        <w:t xml:space="preserve"> At the time the Grant Notice is executed, or at any time thereafter as requested by a Participating Company, the Participant hereby authorizes withholding from payroll and any other amounts payable to the Participant, and otherwise agrees</w:t>
      </w:r>
    </w:p>
    <w:p>
      <w:pPr>
        <w:spacing w:after="0" w:line="211" w:lineRule="auto"/>
        <w:rPr>
          <w:sz w:val="20"/>
          <w:szCs w:val="20"/>
          <w:color w:val="auto"/>
        </w:rPr>
      </w:pPr>
      <w:r>
        <w:rPr>
          <w:rFonts w:ascii="Times New Roman" w:cs="Times New Roman" w:eastAsia="Times New Roman" w:hAnsi="Times New Roman"/>
          <w:sz w:val="20"/>
          <w:szCs w:val="20"/>
          <w:color w:val="auto"/>
        </w:rPr>
        <w:t>to make adequate provision for, any sums required to satisfy the federal, state, local and foreign tax (including any social insurance)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withholding obligations of the Participating Company, if any, which arise in connection with the Award, the vesting of Units or the issuance of shares of Stock in settlement thereof. The Company shall have no obligation to deliver shares of Stock until the tax withholding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of the Participating Company have been satisfied by the Participant.</w:t>
      </w:r>
    </w:p>
    <w:p>
      <w:pPr>
        <w:spacing w:after="0" w:line="163" w:lineRule="exact"/>
        <w:rPr>
          <w:sz w:val="20"/>
          <w:szCs w:val="20"/>
          <w:color w:val="auto"/>
        </w:rPr>
      </w:pPr>
    </w:p>
    <w:p>
      <w:pPr>
        <w:ind w:firstLine="1296"/>
        <w:spacing w:after="0" w:line="229"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b w:val="1"/>
          <w:bCs w:val="1"/>
          <w:color w:val="auto"/>
        </w:rPr>
        <w:t>Assignment of Sale Proceeds.</w:t>
      </w:r>
      <w:r>
        <w:rPr>
          <w:rFonts w:ascii="Times New Roman" w:cs="Times New Roman" w:eastAsia="Times New Roman" w:hAnsi="Times New Roman"/>
          <w:sz w:val="19"/>
          <w:szCs w:val="19"/>
          <w:color w:val="auto"/>
        </w:rPr>
        <w:t xml:space="preserve"> Subject to compliance with applicable law and the Company’s Trading Compliance Policy, if permitted by the Company, the Participant may satisfy the Participating Company’s tax withholding obligations in accordance with</w:t>
      </w:r>
    </w:p>
    <w:p>
      <w:pPr>
        <w:spacing w:after="0" w:line="211" w:lineRule="auto"/>
        <w:rPr>
          <w:sz w:val="20"/>
          <w:szCs w:val="20"/>
          <w:color w:val="auto"/>
        </w:rPr>
      </w:pPr>
      <w:r>
        <w:rPr>
          <w:rFonts w:ascii="Times New Roman" w:cs="Times New Roman" w:eastAsia="Times New Roman" w:hAnsi="Times New Roman"/>
          <w:sz w:val="20"/>
          <w:szCs w:val="20"/>
          <w:color w:val="auto"/>
        </w:rPr>
        <w:t>procedures established by the Company providing for delivery by the Participant to the Company or a broker approved by the Company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properly executed instructions, in a form approved by the Company, providing for the assignment to the Company of the proceeds of a sale with respect to some or all of the shares being acquired upon settlement of Units.</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20"/>
          <w:szCs w:val="20"/>
          <w:b w:val="1"/>
          <w:bCs w:val="1"/>
          <w:color w:val="auto"/>
        </w:rPr>
        <w:t xml:space="preserve">Withholding in Shares. </w:t>
      </w:r>
      <w:r>
        <w:rPr>
          <w:rFonts w:ascii="Times New Roman" w:cs="Times New Roman" w:eastAsia="Times New Roman" w:hAnsi="Times New Roman"/>
          <w:sz w:val="20"/>
          <w:szCs w:val="20"/>
          <w:color w:val="auto"/>
        </w:rPr>
        <w:t>The Company shall have the right, but not the obligation, to require the Participant to</w:t>
      </w:r>
    </w:p>
    <w:p>
      <w:pPr>
        <w:spacing w:after="0" w:line="215" w:lineRule="auto"/>
        <w:rPr>
          <w:sz w:val="20"/>
          <w:szCs w:val="20"/>
          <w:color w:val="auto"/>
        </w:rPr>
      </w:pPr>
      <w:r>
        <w:rPr>
          <w:rFonts w:ascii="Times New Roman" w:cs="Times New Roman" w:eastAsia="Times New Roman" w:hAnsi="Times New Roman"/>
          <w:sz w:val="19"/>
          <w:szCs w:val="19"/>
          <w:color w:val="auto"/>
        </w:rPr>
        <w:t>satisfy all or any portion of a Participating Company’s tax withholding obligations by deducting from the shares of Stock otherwise deliverable to the Participant in settlement of the Award a number of whole shares having a fair market value, as determined by the Company</w:t>
      </w:r>
    </w:p>
    <w:p>
      <w:pPr>
        <w:spacing w:after="0" w:line="228" w:lineRule="auto"/>
        <w:rPr>
          <w:sz w:val="20"/>
          <w:szCs w:val="20"/>
          <w:color w:val="auto"/>
        </w:rPr>
      </w:pPr>
      <w:r>
        <w:rPr>
          <w:rFonts w:ascii="Times New Roman" w:cs="Times New Roman" w:eastAsia="Times New Roman" w:hAnsi="Times New Roman"/>
          <w:sz w:val="20"/>
          <w:szCs w:val="20"/>
          <w:color w:val="auto"/>
        </w:rPr>
        <w:t>as of the date on which the tax withholding obligations arise, not in excess of the amount of such tax withholding obligations determined by the applicable statutory withholding rates.</w:t>
      </w:r>
    </w:p>
    <w:p>
      <w:pPr>
        <w:sectPr>
          <w:pgSz w:w="11900" w:h="16838" w:orient="portrait"/>
          <w:cols w:equalWidth="0" w:num="1">
            <w:col w:w="11240"/>
          </w:cols>
          <w:pgMar w:left="320" w:top="1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EFFECT OF CHANGE IN CONTROL</w:t>
      </w:r>
      <w:r>
        <w:rPr>
          <w:rFonts w:ascii="Times New Roman" w:cs="Times New Roman" w:eastAsia="Times New Roman" w:hAnsi="Times New Roman"/>
          <w:sz w:val="20"/>
          <w:szCs w:val="20"/>
          <w:b w:val="1"/>
          <w:bCs w:val="1"/>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the event of a Change in Control, except to the extent that the Committee determines to cash out the Award in accordance with</w:t>
      </w:r>
    </w:p>
    <w:p>
      <w:pPr>
        <w:spacing w:after="0" w:line="215" w:lineRule="auto"/>
        <w:rPr>
          <w:sz w:val="20"/>
          <w:szCs w:val="20"/>
          <w:color w:val="auto"/>
        </w:rPr>
      </w:pPr>
      <w:r>
        <w:rPr>
          <w:rFonts w:ascii="Times New Roman" w:cs="Times New Roman" w:eastAsia="Times New Roman" w:hAnsi="Times New Roman"/>
          <w:sz w:val="19"/>
          <w:szCs w:val="19"/>
          <w:color w:val="auto"/>
        </w:rPr>
        <w:t>Section 13.1(e) of the Plan, the surviving, continuing, successor, or purchasing entity or parent thereof, as the case may be (the “</w:t>
      </w:r>
      <w:r>
        <w:rPr>
          <w:rFonts w:ascii="Times New Roman" w:cs="Times New Roman" w:eastAsia="Times New Roman" w:hAnsi="Times New Roman"/>
          <w:sz w:val="19"/>
          <w:szCs w:val="19"/>
          <w:b w:val="1"/>
          <w:bCs w:val="1"/>
          <w:i w:val="1"/>
          <w:iCs w:val="1"/>
          <w:color w:val="auto"/>
        </w:rPr>
        <w:t>Acquiror</w:t>
      </w:r>
      <w:r>
        <w:rPr>
          <w:rFonts w:ascii="Times New Roman" w:cs="Times New Roman" w:eastAsia="Times New Roman" w:hAnsi="Times New Roman"/>
          <w:sz w:val="19"/>
          <w:szCs w:val="19"/>
          <w:color w:val="auto"/>
        </w:rPr>
        <w:t>”), may, without the consent of the Participant, assume or continue in full force and effect the Company’s rights and obligations under all or any</w:t>
      </w:r>
    </w:p>
    <w:p>
      <w:pPr>
        <w:spacing w:after="0" w:line="222" w:lineRule="auto"/>
        <w:rPr>
          <w:sz w:val="20"/>
          <w:szCs w:val="20"/>
          <w:color w:val="auto"/>
        </w:rPr>
      </w:pPr>
      <w:r>
        <w:rPr>
          <w:rFonts w:ascii="Times New Roman" w:cs="Times New Roman" w:eastAsia="Times New Roman" w:hAnsi="Times New Roman"/>
          <w:sz w:val="19"/>
          <w:szCs w:val="19"/>
          <w:color w:val="auto"/>
        </w:rPr>
        <w:t>portion of the outstanding Units or substitute for all or any portion of the outstanding Units substantially equivalent rights with respect to the</w:t>
      </w:r>
    </w:p>
    <w:p>
      <w:pPr>
        <w:spacing w:after="0" w:line="215" w:lineRule="auto"/>
        <w:rPr>
          <w:sz w:val="20"/>
          <w:szCs w:val="20"/>
          <w:color w:val="auto"/>
        </w:rPr>
      </w:pPr>
      <w:r>
        <w:rPr>
          <w:rFonts w:ascii="Times New Roman" w:cs="Times New Roman" w:eastAsia="Times New Roman" w:hAnsi="Times New Roman"/>
          <w:sz w:val="19"/>
          <w:szCs w:val="19"/>
          <w:color w:val="auto"/>
        </w:rPr>
        <w:t>Acquiror’s stock. For purposes of this Section, a Unit shall be deemed assumed if, following the Change in Control, the Unit confers the right to receive, subject to the terms and conditions of the Plan and this Agreement, the consideration (whether stock, cash, other securities or</w:t>
      </w:r>
    </w:p>
    <w:p>
      <w:pPr>
        <w:spacing w:after="0" w:line="211" w:lineRule="auto"/>
        <w:rPr>
          <w:sz w:val="20"/>
          <w:szCs w:val="20"/>
          <w:color w:val="auto"/>
        </w:rPr>
      </w:pPr>
      <w:r>
        <w:rPr>
          <w:rFonts w:ascii="Times New Roman" w:cs="Times New Roman" w:eastAsia="Times New Roman" w:hAnsi="Times New Roman"/>
          <w:sz w:val="20"/>
          <w:szCs w:val="20"/>
          <w:color w:val="auto"/>
        </w:rPr>
        <w:t>property or a combination thereof) to which a holder of a share of Stock on the effective date of the Change in Control was entitled (and if</w:t>
      </w:r>
    </w:p>
    <w:p>
      <w:pPr>
        <w:spacing w:after="0" w:line="215" w:lineRule="auto"/>
        <w:rPr>
          <w:sz w:val="20"/>
          <w:szCs w:val="20"/>
          <w:color w:val="auto"/>
        </w:rPr>
      </w:pPr>
      <w:r>
        <w:rPr>
          <w:rFonts w:ascii="Times New Roman" w:cs="Times New Roman" w:eastAsia="Times New Roman" w:hAnsi="Times New Roman"/>
          <w:sz w:val="19"/>
          <w:szCs w:val="19"/>
          <w:color w:val="auto"/>
        </w:rPr>
        <w:t>holders were offered a choice of consideration, the type of consideration chosen by the holders of a majority of the outstanding shares of Stock); provided, however, that if such consideration is not solely common stock of the Acquiror, the Committee may, with the consent of the</w:t>
      </w:r>
    </w:p>
    <w:p>
      <w:pPr>
        <w:spacing w:after="0" w:line="222" w:lineRule="auto"/>
        <w:rPr>
          <w:sz w:val="20"/>
          <w:szCs w:val="20"/>
          <w:color w:val="auto"/>
        </w:rPr>
      </w:pPr>
      <w:r>
        <w:rPr>
          <w:rFonts w:ascii="Times New Roman" w:cs="Times New Roman" w:eastAsia="Times New Roman" w:hAnsi="Times New Roman"/>
          <w:sz w:val="19"/>
          <w:szCs w:val="19"/>
          <w:color w:val="auto"/>
        </w:rPr>
        <w:t>Acquiror, provide for the consideration to be received upon settlement of the Unit to consist solely of common stock of the Acquiror equal in</w:t>
      </w:r>
    </w:p>
    <w:p>
      <w:pPr>
        <w:spacing w:after="0" w:line="204" w:lineRule="auto"/>
        <w:rPr>
          <w:sz w:val="20"/>
          <w:szCs w:val="20"/>
          <w:color w:val="auto"/>
        </w:rPr>
      </w:pPr>
      <w:r>
        <w:rPr>
          <w:rFonts w:ascii="Times New Roman" w:cs="Times New Roman" w:eastAsia="Times New Roman" w:hAnsi="Times New Roman"/>
          <w:sz w:val="20"/>
          <w:szCs w:val="20"/>
          <w:color w:val="auto"/>
        </w:rPr>
        <w:t>Fair Market Value to the per share consideration received by holders of Stock pursuant to the Change in Control. The Award shall terminate and cease to be outstanding effective as of the time of consummation or the Change in Control to the extent that Units subject to the Award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are neither assumed or continued by the Acquiror in connection with the Change in Control nor settled as of the time of the Change in Control.</w:t>
      </w:r>
    </w:p>
    <w:p>
      <w:pPr>
        <w:spacing w:after="0" w:line="158"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ADJUSTMENTS FOR CHANGES IN CAPITAL STRUCTURE</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consolidation, reorganization, reincorporation, recapitalization, reclassification, stock dividend, stock split, reverse stock split, split-up, split-off, spin-off, combination of shares, exchange of shares, or similar change in the capital structure of the Company, or in the event of payment</w:t>
      </w:r>
    </w:p>
    <w:p>
      <w:pPr>
        <w:spacing w:after="0" w:line="204" w:lineRule="auto"/>
        <w:rPr>
          <w:sz w:val="20"/>
          <w:szCs w:val="20"/>
          <w:color w:val="auto"/>
        </w:rPr>
      </w:pPr>
      <w:r>
        <w:rPr>
          <w:rFonts w:ascii="Times New Roman" w:cs="Times New Roman" w:eastAsia="Times New Roman" w:hAnsi="Times New Roman"/>
          <w:sz w:val="20"/>
          <w:szCs w:val="20"/>
          <w:color w:val="auto"/>
        </w:rPr>
        <w:t>of a dividend or distribution to the stockholders of the Company in a form other than Stock (other than regular, periodic cash dividends paid on Stock pursuant to the Company’s dividend policy) that has a material effect on the Fair Market Value of shares of Stock, appropriate and</w:t>
      </w:r>
    </w:p>
    <w:p>
      <w:pPr>
        <w:spacing w:after="0" w:line="211" w:lineRule="auto"/>
        <w:rPr>
          <w:sz w:val="20"/>
          <w:szCs w:val="20"/>
          <w:color w:val="auto"/>
        </w:rPr>
      </w:pPr>
      <w:r>
        <w:rPr>
          <w:rFonts w:ascii="Times New Roman" w:cs="Times New Roman" w:eastAsia="Times New Roman" w:hAnsi="Times New Roman"/>
          <w:sz w:val="20"/>
          <w:szCs w:val="20"/>
          <w:color w:val="auto"/>
        </w:rPr>
        <w:t>proportionate adjustments shall be made in the number of Units subject to the Award and/or the number and kind of shares or other property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w:t>
      </w:r>
    </w:p>
    <w:p>
      <w:pPr>
        <w:spacing w:after="0" w:line="211" w:lineRule="auto"/>
        <w:rPr>
          <w:sz w:val="20"/>
          <w:szCs w:val="20"/>
          <w:color w:val="auto"/>
        </w:rPr>
      </w:pPr>
      <w:r>
        <w:rPr>
          <w:rFonts w:ascii="Times New Roman" w:cs="Times New Roman" w:eastAsia="Times New Roman" w:hAnsi="Times New Roman"/>
          <w:sz w:val="20"/>
          <w:szCs w:val="20"/>
          <w:color w:val="auto"/>
        </w:rPr>
        <w:t>the Company.” Any and all new, substituted or additional securities or other property (other than regular, periodic cash dividends paid on</w:t>
      </w:r>
    </w:p>
    <w:p>
      <w:pPr>
        <w:spacing w:after="0" w:line="204" w:lineRule="auto"/>
        <w:rPr>
          <w:sz w:val="20"/>
          <w:szCs w:val="20"/>
          <w:color w:val="auto"/>
        </w:rPr>
      </w:pPr>
      <w:r>
        <w:rPr>
          <w:rFonts w:ascii="Times New Roman" w:cs="Times New Roman" w:eastAsia="Times New Roman" w:hAnsi="Times New Roman"/>
          <w:sz w:val="20"/>
          <w:szCs w:val="20"/>
          <w:color w:val="auto"/>
        </w:rPr>
        <w:t>Stock pursuant to the Company’s dividend policy) to which the Participant is entitled by reason of ownership of Units acquired pursuant to this Award will be immediately subject to the provisions of this Award on the same basis as all Units originally acquired hereunder.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58"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RIGHTS AS A STOCKHOLDER, DIRECTOR, EMPLOYEE OR CONSULTANT</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agent of the Company). No adjustment shall be made for dividends, distributions or other rights for which the record date is prior to the date the shares are issued, except as provided in Section 10. If the Participant is an Employee, the Participant understands and acknowledges that,</w:t>
      </w:r>
    </w:p>
    <w:p>
      <w:pPr>
        <w:spacing w:after="0" w:line="211" w:lineRule="auto"/>
        <w:rPr>
          <w:sz w:val="20"/>
          <w:szCs w:val="20"/>
          <w:color w:val="auto"/>
        </w:rPr>
      </w:pPr>
      <w:r>
        <w:rPr>
          <w:rFonts w:ascii="Times New Roman" w:cs="Times New Roman" w:eastAsia="Times New Roman" w:hAnsi="Times New Roman"/>
          <w:sz w:val="20"/>
          <w:szCs w:val="20"/>
          <w:color w:val="auto"/>
        </w:rPr>
        <w:t>except as otherwise provided in a separate, written employment agreement between a Participating Company and the Participant, the</w:t>
      </w:r>
    </w:p>
    <w:p>
      <w:pPr>
        <w:spacing w:after="0" w:line="204" w:lineRule="auto"/>
        <w:rPr>
          <w:sz w:val="20"/>
          <w:szCs w:val="20"/>
          <w:color w:val="auto"/>
        </w:rPr>
      </w:pPr>
      <w:r>
        <w:rPr>
          <w:rFonts w:ascii="Times New Roman" w:cs="Times New Roman" w:eastAsia="Times New Roman" w:hAnsi="Times New Roman"/>
          <w:sz w:val="20"/>
          <w:szCs w:val="20"/>
          <w:color w:val="auto"/>
        </w:rPr>
        <w:t>Participant’s employment is “at will” and is for no specified term. Nothing in this Agreement shall confer upon the Participant any right to continue in the Service of a Participating Company or interfere in any way with any right of the Participating Company Group to terminate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Participant’s Service at any time.</w:t>
      </w:r>
    </w:p>
    <w:p>
      <w:pPr>
        <w:sectPr>
          <w:pgSz w:w="11900" w:h="16838" w:orient="portrait"/>
          <w:cols w:equalWidth="0" w:num="1">
            <w:col w:w="11240"/>
          </w:cols>
          <w:pgMar w:left="320" w:top="10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LEGENDS</w:t>
      </w:r>
      <w:r>
        <w:rPr>
          <w:rFonts w:ascii="Times New Roman" w:cs="Times New Roman" w:eastAsia="Times New Roman" w:hAnsi="Times New Roman"/>
          <w:sz w:val="20"/>
          <w:szCs w:val="20"/>
          <w:b w:val="1"/>
          <w:bCs w:val="1"/>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may at any time place legends referencing any applicable federal, state or foreign securities law restrictions on all</w:t>
      </w:r>
    </w:p>
    <w:p>
      <w:pPr>
        <w:spacing w:after="0" w:line="204" w:lineRule="auto"/>
        <w:rPr>
          <w:sz w:val="20"/>
          <w:szCs w:val="20"/>
          <w:color w:val="auto"/>
        </w:rPr>
      </w:pPr>
      <w:r>
        <w:rPr>
          <w:rFonts w:ascii="Times New Roman" w:cs="Times New Roman" w:eastAsia="Times New Roman" w:hAnsi="Times New Roman"/>
          <w:sz w:val="20"/>
          <w:szCs w:val="20"/>
          <w:color w:val="auto"/>
        </w:rPr>
        <w:t>certificates representing shares of stock issued pursuant to this Agreement. The Participant shall, at the request of the Company, promptly present to the Company any and all certificates representing shares acquired pursuant to this Award in the possession of the Participant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order to carry out the provisions of this Section.</w:t>
      </w:r>
    </w:p>
    <w:p>
      <w:pPr>
        <w:spacing w:after="0" w:line="176"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COMPLIANCE WITH SECTION 409A</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w:t>
      </w:r>
    </w:p>
    <w:p>
      <w:pPr>
        <w:spacing w:after="0" w:line="212" w:lineRule="auto"/>
        <w:rPr>
          <w:sz w:val="20"/>
          <w:szCs w:val="20"/>
          <w:color w:val="auto"/>
        </w:rPr>
      </w:pPr>
      <w:r>
        <w:rPr>
          <w:rFonts w:ascii="Times New Roman" w:cs="Times New Roman" w:eastAsia="Times New Roman" w:hAnsi="Times New Roman"/>
          <w:sz w:val="20"/>
          <w:szCs w:val="20"/>
          <w:color w:val="auto"/>
        </w:rPr>
        <w:t>applicable regulations or other administrative guidance thereunder, as determined by the Committee in good faith) to avoid the unfavorable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tax consequences provided therein for non-compliance. In connection with effecting such compliance with Section 409A, the following shall apply:</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19"/>
          <w:szCs w:val="19"/>
          <w:b w:val="1"/>
          <w:bCs w:val="1"/>
          <w:color w:val="auto"/>
        </w:rPr>
        <w:t xml:space="preserve">Separation from Service; Required Delay in Payment to Specified Employee. </w:t>
      </w:r>
      <w:r>
        <w:rPr>
          <w:rFonts w:ascii="Times New Roman" w:cs="Times New Roman" w:eastAsia="Times New Roman" w:hAnsi="Times New Roman"/>
          <w:sz w:val="19"/>
          <w:szCs w:val="19"/>
          <w:color w:val="auto"/>
        </w:rPr>
        <w:t>Notwithstanding anything set forth</w:t>
      </w:r>
    </w:p>
    <w:p>
      <w:pPr>
        <w:spacing w:after="0" w:line="222" w:lineRule="auto"/>
        <w:rPr>
          <w:sz w:val="20"/>
          <w:szCs w:val="20"/>
          <w:color w:val="auto"/>
        </w:rPr>
      </w:pPr>
      <w:r>
        <w:rPr>
          <w:rFonts w:ascii="Times New Roman" w:cs="Times New Roman" w:eastAsia="Times New Roman" w:hAnsi="Times New Roman"/>
          <w:sz w:val="19"/>
          <w:szCs w:val="19"/>
          <w:color w:val="auto"/>
        </w:rPr>
        <w:t>herein to the contrary, no amount payable pursuant to this Agreement on account of the Participant’s termination of Service which constitutes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 “deferral of compensation” within the meaning of the Treasury Regulations issued pursuant to Section 409A of the Code (the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409A Regulations”</w:t>
      </w:r>
      <w:r>
        <w:rPr>
          <w:rFonts w:ascii="Times New Roman" w:cs="Times New Roman" w:eastAsia="Times New Roman" w:hAnsi="Times New Roman"/>
          <w:sz w:val="19"/>
          <w:szCs w:val="19"/>
          <w:color w:val="auto"/>
        </w:rPr>
        <w:t>) shall be paid unless and until the Participant has incurred a “separation from service” within the meaning of the Section</w:t>
      </w:r>
    </w:p>
    <w:p>
      <w:pPr>
        <w:spacing w:after="0" w:line="211" w:lineRule="auto"/>
        <w:rPr>
          <w:sz w:val="20"/>
          <w:szCs w:val="20"/>
          <w:color w:val="auto"/>
        </w:rPr>
      </w:pPr>
      <w:r>
        <w:rPr>
          <w:rFonts w:ascii="Times New Roman" w:cs="Times New Roman" w:eastAsia="Times New Roman" w:hAnsi="Times New Roman"/>
          <w:sz w:val="20"/>
          <w:szCs w:val="20"/>
          <w:color w:val="auto"/>
        </w:rPr>
        <w:t>409A Regulations. Furthermore, to the extent that the Participant is a “specified employee” within the meaning of the Section 409A</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9"/>
          <w:szCs w:val="19"/>
          <w:b w:val="1"/>
          <w:bCs w:val="1"/>
          <w:i w:val="1"/>
          <w:iCs w:val="1"/>
          <w:color w:val="auto"/>
        </w:rPr>
        <w:t>“Delayed Payment Date”</w:t>
      </w:r>
      <w:r>
        <w:rPr>
          <w:rFonts w:ascii="Times New Roman" w:cs="Times New Roman" w:eastAsia="Times New Roman" w:hAnsi="Times New Roman"/>
          <w:sz w:val="19"/>
          <w:szCs w:val="19"/>
          <w:color w:val="auto"/>
        </w:rPr>
        <w:t>) which is</w:t>
      </w:r>
    </w:p>
    <w:p>
      <w:pPr>
        <w:spacing w:after="0" w:line="211" w:lineRule="auto"/>
        <w:rPr>
          <w:sz w:val="20"/>
          <w:szCs w:val="20"/>
          <w:color w:val="auto"/>
        </w:rPr>
      </w:pPr>
      <w:r>
        <w:rPr>
          <w:rFonts w:ascii="Times New Roman" w:cs="Times New Roman" w:eastAsia="Times New Roman" w:hAnsi="Times New Roman"/>
          <w:sz w:val="20"/>
          <w:szCs w:val="20"/>
          <w:color w:val="auto"/>
        </w:rPr>
        <w:t>first day of the seventh month after the date of the Participant’s separation from service or, if earlier, the date of the Participant’s death</w:t>
      </w:r>
    </w:p>
    <w:p>
      <w:pPr>
        <w:ind w:right="20"/>
        <w:spacing w:after="0" w:line="221" w:lineRule="auto"/>
        <w:rPr>
          <w:sz w:val="20"/>
          <w:szCs w:val="20"/>
          <w:color w:val="auto"/>
        </w:rPr>
      </w:pPr>
      <w:r>
        <w:rPr>
          <w:rFonts w:ascii="Times New Roman" w:cs="Times New Roman" w:eastAsia="Times New Roman" w:hAnsi="Times New Roman"/>
          <w:sz w:val="20"/>
          <w:szCs w:val="20"/>
          <w:color w:val="auto"/>
        </w:rPr>
        <w:t>following such separation from service. All such amounts that would, but for this Section, become payable prior to the Delayed Payment Date will be accumulated and paid on the Delayed Payment Date.</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19"/>
          <w:szCs w:val="19"/>
          <w:b w:val="1"/>
          <w:bCs w:val="1"/>
          <w:color w:val="auto"/>
        </w:rPr>
        <w:t xml:space="preserve">Other Changes in Time of Payment. </w:t>
      </w:r>
      <w:r>
        <w:rPr>
          <w:rFonts w:ascii="Times New Roman" w:cs="Times New Roman" w:eastAsia="Times New Roman" w:hAnsi="Times New Roman"/>
          <w:sz w:val="19"/>
          <w:szCs w:val="19"/>
          <w:color w:val="auto"/>
        </w:rPr>
        <w:t>Neither the Participant nor the Company shall take any action to accelerate or</w:t>
      </w:r>
    </w:p>
    <w:p>
      <w:pPr>
        <w:spacing w:after="0" w:line="221" w:lineRule="auto"/>
        <w:rPr>
          <w:sz w:val="20"/>
          <w:szCs w:val="20"/>
          <w:color w:val="auto"/>
        </w:rPr>
      </w:pPr>
      <w:r>
        <w:rPr>
          <w:rFonts w:ascii="Times New Roman" w:cs="Times New Roman" w:eastAsia="Times New Roman" w:hAnsi="Times New Roman"/>
          <w:sz w:val="20"/>
          <w:szCs w:val="20"/>
          <w:color w:val="auto"/>
        </w:rPr>
        <w:t>delay the payment of any benefits under this Agreement in any manner which would not be in compliance with the Section 409A Regulations.</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0"/>
          <w:szCs w:val="20"/>
          <w:b w:val="1"/>
          <w:bCs w:val="1"/>
          <w:color w:val="auto"/>
        </w:rPr>
        <w:t xml:space="preserve">Amendments to Comply with Section 409A; Indemnification. </w:t>
      </w:r>
      <w:r>
        <w:rPr>
          <w:rFonts w:ascii="Times New Roman" w:cs="Times New Roman" w:eastAsia="Times New Roman" w:hAnsi="Times New Roman"/>
          <w:sz w:val="20"/>
          <w:szCs w:val="20"/>
          <w:color w:val="auto"/>
        </w:rPr>
        <w:t>Notwithstanding any other provision of this</w:t>
      </w:r>
    </w:p>
    <w:p>
      <w:pPr>
        <w:spacing w:after="0" w:line="222" w:lineRule="auto"/>
        <w:rPr>
          <w:sz w:val="20"/>
          <w:szCs w:val="20"/>
          <w:color w:val="auto"/>
        </w:rPr>
      </w:pPr>
      <w:r>
        <w:rPr>
          <w:rFonts w:ascii="Times New Roman" w:cs="Times New Roman" w:eastAsia="Times New Roman" w:hAnsi="Times New Roman"/>
          <w:sz w:val="19"/>
          <w:szCs w:val="19"/>
          <w:color w:val="auto"/>
        </w:rPr>
        <w:t>Agreement to the contrary, the Company is authorized to amend this Agreement, to void or amend any election made by the Participant under</w:t>
      </w:r>
    </w:p>
    <w:p>
      <w:pPr>
        <w:spacing w:after="0" w:line="215" w:lineRule="auto"/>
        <w:rPr>
          <w:sz w:val="20"/>
          <w:szCs w:val="20"/>
          <w:color w:val="auto"/>
        </w:rPr>
      </w:pPr>
      <w:r>
        <w:rPr>
          <w:rFonts w:ascii="Times New Roman" w:cs="Times New Roman" w:eastAsia="Times New Roman" w:hAnsi="Times New Roman"/>
          <w:sz w:val="19"/>
          <w:szCs w:val="19"/>
          <w:color w:val="auto"/>
        </w:rPr>
        <w:t>this Agreement and/or to delay the payment of any monies and/or provision of any benefits in such manner as may be determined by the Company, in its discretion, to be necessary or appropriate to comply with the Section 409A Regulations without prior notice to or consent of</w:t>
      </w:r>
    </w:p>
    <w:p>
      <w:pPr>
        <w:spacing w:after="0" w:line="211" w:lineRule="auto"/>
        <w:rPr>
          <w:sz w:val="20"/>
          <w:szCs w:val="20"/>
          <w:color w:val="auto"/>
        </w:rPr>
      </w:pPr>
      <w:r>
        <w:rPr>
          <w:rFonts w:ascii="Times New Roman" w:cs="Times New Roman" w:eastAsia="Times New Roman" w:hAnsi="Times New Roman"/>
          <w:sz w:val="20"/>
          <w:szCs w:val="20"/>
          <w:color w:val="auto"/>
        </w:rPr>
        <w:t>the Participant. The Participant hereby releases and holds harmless the Company, its directors, officers and stockholders from any and all</w:t>
      </w:r>
    </w:p>
    <w:p>
      <w:pPr>
        <w:ind w:right="20"/>
        <w:spacing w:after="0" w:line="221" w:lineRule="auto"/>
        <w:rPr>
          <w:sz w:val="20"/>
          <w:szCs w:val="20"/>
          <w:color w:val="auto"/>
        </w:rPr>
      </w:pPr>
      <w:r>
        <w:rPr>
          <w:rFonts w:ascii="Times New Roman" w:cs="Times New Roman" w:eastAsia="Times New Roman" w:hAnsi="Times New Roman"/>
          <w:sz w:val="20"/>
          <w:szCs w:val="20"/>
          <w:color w:val="auto"/>
        </w:rPr>
        <w:t>claims that may arise from or relate to any tax liability, penalties, interest, costs, fees or other liability incurred by the Participant in connection with the Award, including as a result of the application of Section 409A.</w:t>
      </w:r>
    </w:p>
    <w:p>
      <w:pPr>
        <w:spacing w:after="0" w:line="157" w:lineRule="exact"/>
        <w:rPr>
          <w:sz w:val="20"/>
          <w:szCs w:val="20"/>
          <w:color w:val="auto"/>
        </w:rPr>
      </w:pPr>
    </w:p>
    <w:p>
      <w:pPr>
        <w:ind w:firstLine="1296"/>
        <w:spacing w:after="0" w:line="226"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19"/>
          <w:szCs w:val="19"/>
          <w:b w:val="1"/>
          <w:bCs w:val="1"/>
          <w:color w:val="auto"/>
        </w:rPr>
        <w:t>Advice of Independent Tax Advisor.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Company has not obtained a tax ruling or other confirmation from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Internal Revenue Service with regard to the application of Section 409A to the Award, and the Company does not represent or warrant that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this Agreement will avoid adverse tax consequences to the Participant, including as a result of the application of Section 409A to the Award. The Participant hereby acknowledges that he or she has been advised to seek the advice of his or her own independent tax advisor prior to</w:t>
      </w:r>
    </w:p>
    <w:p>
      <w:pPr>
        <w:spacing w:after="0" w:line="228" w:lineRule="auto"/>
        <w:rPr>
          <w:sz w:val="20"/>
          <w:szCs w:val="20"/>
          <w:color w:val="auto"/>
        </w:rPr>
      </w:pPr>
      <w:r>
        <w:rPr>
          <w:rFonts w:ascii="Times New Roman" w:cs="Times New Roman" w:eastAsia="Times New Roman" w:hAnsi="Times New Roman"/>
          <w:sz w:val="20"/>
          <w:szCs w:val="20"/>
          <w:color w:val="auto"/>
        </w:rPr>
        <w:t>entering into this Agreement and is not relying upon any representations of the Company or any of its agents as to the effect of or the advisability of entering into this Agreement.</w:t>
      </w:r>
    </w:p>
    <w:p>
      <w:pPr>
        <w:sectPr>
          <w:pgSz w:w="11900" w:h="16838" w:orient="portrait"/>
          <w:cols w:equalWidth="0" w:num="1">
            <w:col w:w="11240"/>
          </w:cols>
          <w:pgMar w:left="320" w:top="1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REPAYMENT/FORFEITURE</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benefits a Participant may receive pursuant to this Award shall be subject to repayment or forfeiture as required to comply with</w:t>
      </w:r>
    </w:p>
    <w:p>
      <w:pPr>
        <w:spacing w:after="0" w:line="6" w:lineRule="exact"/>
        <w:rPr>
          <w:sz w:val="20"/>
          <w:szCs w:val="20"/>
          <w:color w:val="auto"/>
        </w:rPr>
      </w:pPr>
    </w:p>
    <w:p>
      <w:pPr>
        <w:jc w:val="both"/>
        <w:ind w:firstLine="8"/>
        <w:spacing w:after="0" w:line="212" w:lineRule="auto"/>
        <w:tabs>
          <w:tab w:leader="none" w:pos="27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Paylocity Holding Corporation Policy for Recovery of Erroneously Awarded Incentive Compensation, or (d) any other repayment or forfeiture policies adopted by the Company, each to the extent determined by the Company in its discretion to be applicable to Participant.</w:t>
      </w:r>
    </w:p>
    <w:p>
      <w:pPr>
        <w:spacing w:after="0" w:line="173"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b w:val="1"/>
          <w:bCs w:val="1"/>
          <w:color w:val="auto"/>
        </w:rPr>
        <w:t>Termination or Amendment.</w:t>
      </w:r>
      <w:r>
        <w:rPr>
          <w:rFonts w:ascii="Times New Roman" w:cs="Times New Roman" w:eastAsia="Times New Roman" w:hAnsi="Times New Roman"/>
          <w:sz w:val="20"/>
          <w:szCs w:val="20"/>
          <w:color w:val="auto"/>
        </w:rPr>
        <w:t xml:space="preserve"> The Committee may terminate or amend the Plan or this Agreement at any time; provided, however, that except as provided in Section 9 in connection with a Change in Control, no such termination or amendment may</w:t>
      </w:r>
    </w:p>
    <w:p>
      <w:pPr>
        <w:spacing w:after="0" w:line="213" w:lineRule="auto"/>
        <w:rPr>
          <w:sz w:val="20"/>
          <w:szCs w:val="20"/>
          <w:color w:val="auto"/>
        </w:rPr>
      </w:pPr>
      <w:r>
        <w:rPr>
          <w:rFonts w:ascii="Times New Roman" w:cs="Times New Roman" w:eastAsia="Times New Roman" w:hAnsi="Times New Roman"/>
          <w:sz w:val="20"/>
          <w:szCs w:val="20"/>
          <w:color w:val="auto"/>
        </w:rPr>
        <w:t>have a materially adverse effect on the Participant’s rights under this Agreement without the consent of the Participant unless such</w:t>
      </w:r>
    </w:p>
    <w:p>
      <w:pPr>
        <w:spacing w:after="0" w:line="207" w:lineRule="auto"/>
        <w:rPr>
          <w:sz w:val="20"/>
          <w:szCs w:val="20"/>
          <w:color w:val="auto"/>
        </w:rPr>
      </w:pPr>
      <w:r>
        <w:rPr>
          <w:rFonts w:ascii="Times New Roman" w:cs="Times New Roman" w:eastAsia="Times New Roman" w:hAnsi="Times New Roman"/>
          <w:sz w:val="19"/>
          <w:szCs w:val="19"/>
          <w:color w:val="auto"/>
        </w:rPr>
        <w:t>termination or amendment is necessary to comply with applicable law or government regulation, including, but not limited to, Section 409A.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amendment or addition to this Agreement shall be effective unless in writing.</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b w:val="1"/>
          <w:bCs w:val="1"/>
          <w:color w:val="auto"/>
        </w:rPr>
        <w:t xml:space="preserve">Nontransferability of the Award. </w:t>
      </w:r>
      <w:r>
        <w:rPr>
          <w:rFonts w:ascii="Times New Roman" w:cs="Times New Roman" w:eastAsia="Times New Roman" w:hAnsi="Times New Roman"/>
          <w:sz w:val="19"/>
          <w:szCs w:val="19"/>
          <w:color w:val="auto"/>
        </w:rPr>
        <w:t>Prior to the issuance of shares of Stock on the applicable Settlement Date, neither</w:t>
      </w:r>
    </w:p>
    <w:p>
      <w:pPr>
        <w:spacing w:after="0" w:line="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this Award nor any Units subject to this Award shall be subject in any manner to anticipation, alienation, sale, exchange, transfer, assignment, pledge, encumbrance, or garnishment by creditors of the Participant or the Participant’s beneficiary, except transfer by will or by the laws of</w:t>
      </w:r>
    </w:p>
    <w:p>
      <w:pPr>
        <w:jc w:val="both"/>
        <w:spacing w:after="0" w:line="228" w:lineRule="auto"/>
        <w:rPr>
          <w:sz w:val="20"/>
          <w:szCs w:val="20"/>
          <w:color w:val="auto"/>
        </w:rPr>
      </w:pPr>
      <w:r>
        <w:rPr>
          <w:rFonts w:ascii="Times New Roman" w:cs="Times New Roman" w:eastAsia="Times New Roman" w:hAnsi="Times New Roman"/>
          <w:sz w:val="20"/>
          <w:szCs w:val="20"/>
          <w:color w:val="auto"/>
        </w:rPr>
        <w:t>descent and distribution. All rights with respect to the Award shall be exercisable during the Participant’s lifetime only by the Participant or the Participant’s guardian or legal representative.</w:t>
      </w:r>
    </w:p>
    <w:p>
      <w:pPr>
        <w:spacing w:after="0" w:line="145"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b w:val="1"/>
          <w:bCs w:val="1"/>
          <w:color w:val="auto"/>
        </w:rPr>
        <w:t>Further Instruments.</w:t>
      </w:r>
      <w:r>
        <w:rPr>
          <w:rFonts w:ascii="Times New Roman" w:cs="Times New Roman" w:eastAsia="Times New Roman" w:hAnsi="Times New Roman"/>
          <w:sz w:val="20"/>
          <w:szCs w:val="20"/>
          <w:color w:val="auto"/>
        </w:rPr>
        <w:t xml:space="preserve"> The parties hereto agree to execute such further instruments and to take such further action as may reasonably be necessary to carry out the intent of this Agreement.</w:t>
      </w:r>
    </w:p>
    <w:p>
      <w:pPr>
        <w:spacing w:after="0" w:line="13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4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0"/>
          <w:szCs w:val="20"/>
          <w:color w:val="auto"/>
        </w:rPr>
        <w:t xml:space="preserve">15.5 </w:t>
      </w:r>
      <w:r>
        <w:rPr>
          <w:rFonts w:ascii="Times New Roman" w:cs="Times New Roman" w:eastAsia="Times New Roman" w:hAnsi="Times New Roman"/>
          <w:sz w:val="20"/>
          <w:szCs w:val="20"/>
          <w:b w:val="1"/>
          <w:bCs w:val="1"/>
          <w:color w:val="auto"/>
        </w:rPr>
        <w:t>Advice of Counsel.</w:t>
      </w:r>
      <w:r>
        <w:rPr>
          <w:rFonts w:ascii="Times New Roman" w:cs="Times New Roman" w:eastAsia="Times New Roman" w:hAnsi="Times New Roman"/>
          <w:sz w:val="20"/>
          <w:szCs w:val="20"/>
          <w:color w:val="auto"/>
        </w:rPr>
        <w:t xml:space="preserve"> The Participant is hereby advised to have this Agreement, including without limitation the restrictive covenants set forth in Section 7 herein, reviewed by an attorney of the Participant’s choosing. The Participant acknowledges and agrees that the Participant has had a period of at least fourteen (14) days to review and consider this Agreement before entering into it.</w:t>
      </w:r>
    </w:p>
    <w:p>
      <w:pPr>
        <w:spacing w:after="0" w:line="143"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15.6 </w:t>
      </w:r>
      <w:r>
        <w:rPr>
          <w:rFonts w:ascii="Times New Roman" w:cs="Times New Roman" w:eastAsia="Times New Roman" w:hAnsi="Times New Roman"/>
          <w:sz w:val="20"/>
          <w:szCs w:val="20"/>
          <w:b w:val="1"/>
          <w:bCs w:val="1"/>
          <w:color w:val="auto"/>
        </w:rPr>
        <w:t>Delivery of Documents and Notices.</w:t>
      </w:r>
      <w:r>
        <w:rPr>
          <w:rFonts w:ascii="Times New Roman" w:cs="Times New Roman" w:eastAsia="Times New Roman" w:hAnsi="Times New Roman"/>
          <w:sz w:val="20"/>
          <w:szCs w:val="20"/>
          <w:color w:val="auto"/>
        </w:rPr>
        <w:t xml:space="preserve"> Any document relating to participation in the Plan or any notice required or permitted hereunder shall be given in writing and shall be deemed effectively given (except to the extent that this Agreement provides for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effectiveness only upon actual receipt of such notice) upon personal delivery, electronic delivery at the e-mail address, if any, provided for the Participant by a Participating Company, or upon deposit in the U.S. Post Office or foreign postal service, by registered or certified mail,</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58" w:lineRule="exact"/>
        <w:rPr>
          <w:sz w:val="20"/>
          <w:szCs w:val="20"/>
          <w:color w:val="auto"/>
        </w:rPr>
      </w:pPr>
    </w:p>
    <w:p>
      <w:pPr>
        <w:jc w:val="both"/>
        <w:ind w:firstLine="1952"/>
        <w:spacing w:after="0" w:line="236" w:lineRule="auto"/>
        <w:tabs>
          <w:tab w:leader="none" w:pos="258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i w:val="1"/>
          <w:iCs w:val="1"/>
          <w:color w:val="auto"/>
        </w:rPr>
        <w:t xml:space="preserve">Description of Electronic Delivery. </w:t>
      </w:r>
      <w:r>
        <w:rPr>
          <w:rFonts w:ascii="Times New Roman" w:cs="Times New Roman" w:eastAsia="Times New Roman" w:hAnsi="Times New Roman"/>
          <w:sz w:val="19"/>
          <w:szCs w:val="19"/>
          <w:color w:val="auto"/>
        </w:rPr>
        <w:t>The Plan documents, which may include but do not necessarily include: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Plan, the Grant Notice, this Agreement, the Plan Prospectus, and any reports of the Company provided generally to the Company’s stockholders, may be delivered to the Participant electronically. In addition, if permitted by the Company, the Participant may deliver</w:t>
      </w:r>
    </w:p>
    <w:p>
      <w:pPr>
        <w:sectPr>
          <w:pgSz w:w="11900" w:h="16838" w:orient="portrait"/>
          <w:cols w:equalWidth="0" w:num="1">
            <w:col w:w="11240"/>
          </w:cols>
          <w:pgMar w:left="320" w:top="1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electronically the Grant Notice to the Company or to such third party involved in administering the Plan as the Company may designate from</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w:t>
      </w:r>
    </w:p>
    <w:p>
      <w:pPr>
        <w:spacing w:after="0"/>
        <w:rPr>
          <w:sz w:val="20"/>
          <w:szCs w:val="20"/>
          <w:color w:val="auto"/>
        </w:rPr>
      </w:pPr>
      <w:r>
        <w:rPr>
          <w:rFonts w:ascii="Times New Roman" w:cs="Times New Roman" w:eastAsia="Times New Roman" w:hAnsi="Times New Roman"/>
          <w:sz w:val="20"/>
          <w:szCs w:val="20"/>
          <w:color w:val="auto"/>
        </w:rPr>
        <w:t>delivery specified by the Company.</w:t>
      </w:r>
    </w:p>
    <w:p>
      <w:pPr>
        <w:spacing w:after="0" w:line="176" w:lineRule="exact"/>
        <w:rPr>
          <w:sz w:val="20"/>
          <w:szCs w:val="20"/>
          <w:color w:val="auto"/>
        </w:rPr>
      </w:pPr>
    </w:p>
    <w:p>
      <w:pPr>
        <w:jc w:val="both"/>
        <w:ind w:firstLine="1952"/>
        <w:spacing w:after="0" w:line="211" w:lineRule="auto"/>
        <w:tabs>
          <w:tab w:leader="none" w:pos="258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 xml:space="preserve">Consent to Electronic Delivery. </w:t>
      </w:r>
      <w:r>
        <w:rPr>
          <w:rFonts w:ascii="Times New Roman" w:cs="Times New Roman" w:eastAsia="Times New Roman" w:hAnsi="Times New Roman"/>
          <w:sz w:val="20"/>
          <w:szCs w:val="20"/>
          <w:color w:val="auto"/>
        </w:rPr>
        <w:t>The Participant acknowledges that the Participant has read Section 15.6(a)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this Agreement and consents to the electronic delivery of the Plan documents and, if permitted by the Company, the delivery of the Grant Notice, as described in Section 15.6(a).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15.6(a)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15.6(a)</w:t>
      </w:r>
    </w:p>
    <w:p>
      <w:pPr>
        <w:spacing w:after="0" w:line="158" w:lineRule="exact"/>
        <w:rPr>
          <w:rFonts w:ascii="Times New Roman" w:cs="Times New Roman" w:eastAsia="Times New Roman" w:hAnsi="Times New Roman"/>
          <w:sz w:val="22"/>
          <w:szCs w:val="22"/>
          <w:color w:val="auto"/>
        </w:rPr>
      </w:pPr>
    </w:p>
    <w:p>
      <w:pPr>
        <w:jc w:val="both"/>
        <w:ind w:firstLine="1952"/>
        <w:spacing w:after="0" w:line="221" w:lineRule="auto"/>
        <w:tabs>
          <w:tab w:leader="none" w:pos="258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 xml:space="preserve">Electronic Signatures. </w:t>
      </w:r>
      <w:r>
        <w:rPr>
          <w:rFonts w:ascii="Times New Roman" w:cs="Times New Roman" w:eastAsia="Times New Roman" w:hAnsi="Times New Roman"/>
          <w:sz w:val="20"/>
          <w:szCs w:val="20"/>
          <w:color w:val="auto"/>
        </w:rPr>
        <w:t>The Participant agrees that the electronic signatures, whether digital or encrypted,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parties included in the Agreement are intended to authenticate this writing and to have the same force and effect as manual signatures. Electronic signature means any electronic sound, symbol or process attached to or logically associated with a record and executed and adopted by a party with the intent to sign such record.</w:t>
      </w:r>
    </w:p>
    <w:p>
      <w:pPr>
        <w:spacing w:after="0" w:line="13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20"/>
          <w:szCs w:val="20"/>
          <w:b w:val="1"/>
          <w:bCs w:val="1"/>
          <w:color w:val="auto"/>
        </w:rPr>
        <w:t xml:space="preserve">Integrated Agreement. </w:t>
      </w:r>
      <w:r>
        <w:rPr>
          <w:rFonts w:ascii="Times New Roman" w:cs="Times New Roman" w:eastAsia="Times New Roman" w:hAnsi="Times New Roman"/>
          <w:sz w:val="20"/>
          <w:szCs w:val="20"/>
          <w:color w:val="auto"/>
        </w:rPr>
        <w:t>The Grant Notice, this Agreement and the Plan, together with the Superseding Agreement,</w:t>
      </w:r>
    </w:p>
    <w:p>
      <w:pPr>
        <w:ind w:right="20"/>
        <w:spacing w:after="0" w:line="204" w:lineRule="auto"/>
        <w:rPr>
          <w:sz w:val="20"/>
          <w:szCs w:val="20"/>
          <w:color w:val="auto"/>
        </w:rPr>
      </w:pPr>
      <w:r>
        <w:rPr>
          <w:rFonts w:ascii="Times New Roman" w:cs="Times New Roman" w:eastAsia="Times New Roman" w:hAnsi="Times New Roman"/>
          <w:sz w:val="20"/>
          <w:szCs w:val="20"/>
          <w:color w:val="auto"/>
        </w:rPr>
        <w:t>if any, shall constitute the entire understanding and agreement of the Participant and the Participating Company Group with respect to the subject matter contained herein or therein and supersede any prior agreements, understandings, restrictions, representations, or warranties</w:t>
      </w:r>
    </w:p>
    <w:p>
      <w:pPr>
        <w:spacing w:after="0" w:line="223" w:lineRule="auto"/>
        <w:rPr>
          <w:sz w:val="20"/>
          <w:szCs w:val="20"/>
          <w:color w:val="auto"/>
        </w:rPr>
      </w:pPr>
      <w:r>
        <w:rPr>
          <w:rFonts w:ascii="Times New Roman" w:cs="Times New Roman" w:eastAsia="Times New Roman" w:hAnsi="Times New Roman"/>
          <w:sz w:val="19"/>
          <w:szCs w:val="19"/>
          <w:color w:val="auto"/>
        </w:rPr>
        <w:t>among the Participant and the Participating Company Group with respect to such subject matter. To the extent contemplated herein or therein,</w:t>
      </w:r>
    </w:p>
    <w:p>
      <w:pPr>
        <w:spacing w:after="0" w:line="221" w:lineRule="auto"/>
        <w:rPr>
          <w:sz w:val="20"/>
          <w:szCs w:val="20"/>
          <w:color w:val="auto"/>
        </w:rPr>
      </w:pPr>
      <w:r>
        <w:rPr>
          <w:rFonts w:ascii="Times New Roman" w:cs="Times New Roman" w:eastAsia="Times New Roman" w:hAnsi="Times New Roman"/>
          <w:sz w:val="20"/>
          <w:szCs w:val="20"/>
          <w:color w:val="auto"/>
        </w:rPr>
        <w:t>the provisions of the Grant Notice, this Agreement and the Plan shall survive any settlement of the Award and shall remain in full force and effect.</w:t>
      </w:r>
    </w:p>
    <w:p>
      <w:pPr>
        <w:spacing w:after="0" w:line="157" w:lineRule="exact"/>
        <w:rPr>
          <w:sz w:val="20"/>
          <w:szCs w:val="20"/>
          <w:color w:val="auto"/>
        </w:rPr>
      </w:pPr>
    </w:p>
    <w:p>
      <w:pPr>
        <w:ind w:firstLine="1296"/>
        <w:spacing w:after="0" w:line="226" w:lineRule="auto"/>
        <w:rPr>
          <w:sz w:val="20"/>
          <w:szCs w:val="20"/>
          <w:color w:val="auto"/>
        </w:rPr>
      </w:pPr>
      <w:r>
        <w:rPr>
          <w:rFonts w:ascii="Times New Roman" w:cs="Times New Roman" w:eastAsia="Times New Roman" w:hAnsi="Times New Roman"/>
          <w:sz w:val="22"/>
          <w:szCs w:val="22"/>
          <w:color w:val="auto"/>
        </w:rPr>
        <w:t xml:space="preserve">15.8 </w:t>
      </w:r>
      <w:r>
        <w:rPr>
          <w:rFonts w:ascii="Times New Roman" w:cs="Times New Roman" w:eastAsia="Times New Roman" w:hAnsi="Times New Roman"/>
          <w:sz w:val="19"/>
          <w:szCs w:val="19"/>
          <w:b w:val="1"/>
          <w:bCs w:val="1"/>
          <w:color w:val="auto"/>
        </w:rPr>
        <w:t>Applicable Law; Forum Selection.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Agreement shall be governed by the laws of the State of Illinois as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laws are applied to agreements between Illinois residents entered into and to be performed entirely within the State of Illinois, without regard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to conflict-of-law rules. The parties agree that any suit, action, or other legal proceeding arising out of or relating to this Agreement will be brought exclusively in a court of competent jurisdiction located within Illinois and will not be commenced or maintained in any other court.</w:t>
      </w:r>
    </w:p>
    <w:p>
      <w:pPr>
        <w:spacing w:after="0" w:line="211" w:lineRule="auto"/>
        <w:rPr>
          <w:sz w:val="20"/>
          <w:szCs w:val="20"/>
          <w:color w:val="auto"/>
        </w:rPr>
      </w:pPr>
      <w:r>
        <w:rPr>
          <w:rFonts w:ascii="Times New Roman" w:cs="Times New Roman" w:eastAsia="Times New Roman" w:hAnsi="Times New Roman"/>
          <w:sz w:val="20"/>
          <w:szCs w:val="20"/>
          <w:color w:val="auto"/>
        </w:rPr>
        <w:t>The parties agree and consent to Illinois as the exclusive jurisdiction and venue of any such suit, action or proceeding. The parties agree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consent to service by mail of any paper initiating any suit, action, or proceeding at the address set forth herein. The Participant agrees to update the Participant’s address with the Company as soon as possible after a change in address occurs and acknowledges that it is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Participant’s responsibility to ensure that the Company has the Participant’s correct address on file. The Participant waives any objection to service by mail where the Company addresses service to the most recent address provided by the Participant.</w:t>
      </w:r>
    </w:p>
    <w:p>
      <w:pPr>
        <w:spacing w:after="0" w:line="144"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15.9 </w:t>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Grant Notice may be executed in counterparts, each of which shall be deemed an original, but 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which together shall constitute one and the same instrument.</w:t>
      </w:r>
    </w:p>
    <w:p>
      <w:pPr>
        <w:sectPr>
          <w:pgSz w:w="11900" w:h="16838" w:orient="portrait"/>
          <w:cols w:equalWidth="0" w:num="1">
            <w:col w:w="11240"/>
          </w:cols>
          <w:pgMar w:left="320" w:top="10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5"/>
          <w:szCs w:val="25"/>
          <w:b w:val="1"/>
          <w:bCs w:val="1"/>
          <w:color w:val="auto"/>
        </w:rPr>
        <w:t>RSU Grant Notice with Quarterly Vesting Schedule</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GRANT OF RESTRICTED STOCK UNITS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(Contains a Non-Competition Covenant)</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Paylocity Holding Corporation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has granted to the Participant an award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of certain units pursuant to the Paylocity Holding Corporation 2023 Equity Incentive Plan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each of which represents the right to receive on the applicable Settlement Date one (1)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2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w:t>
            </w:r>
          </w:p>
        </w:tc>
        <w:tc>
          <w:tcPr>
            <w:tcW w:w="32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as</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4"/>
              </w:rPr>
              <w:t>follows:</w:t>
            </w:r>
          </w:p>
        </w:tc>
      </w:tr>
      <w:tr>
        <w:trPr>
          <w:trHeight w:val="23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20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2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2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Units:</w:t>
            </w:r>
          </w:p>
        </w:tc>
        <w:tc>
          <w:tcPr>
            <w:tcW w:w="77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_________ Subject to adjustment as provided by the Restricted Stock Units Agreement.</w:t>
            </w:r>
          </w:p>
        </w:tc>
        <w:tc>
          <w:tcPr>
            <w:tcW w:w="1100" w:type="dxa"/>
            <w:vAlign w:val="bottom"/>
          </w:tcPr>
          <w:p>
            <w:pPr>
              <w:spacing w:after="0"/>
              <w:rPr>
                <w:sz w:val="22"/>
                <w:szCs w:val="22"/>
                <w:color w:val="auto"/>
              </w:rPr>
            </w:pPr>
          </w:p>
        </w:tc>
      </w:tr>
      <w:tr>
        <w:trPr>
          <w:trHeight w:val="25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Except as provided by the Restricted Stock Units Agreement, the date on which a Unit becomes a Vested Unit.</w:t>
            </w:r>
          </w:p>
        </w:tc>
      </w:tr>
      <w:tr>
        <w:trPr>
          <w:trHeight w:val="25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20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Units:</w:t>
            </w: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Except as provided in the Restricted Stock Units Agreement and provided that the Participant’s Service has not</w:t>
            </w:r>
          </w:p>
        </w:tc>
      </w:tr>
      <w:tr>
        <w:trPr>
          <w:trHeight w:val="198"/>
        </w:trPr>
        <w:tc>
          <w:tcPr>
            <w:tcW w:w="2340" w:type="dxa"/>
            <w:vAlign w:val="bottom"/>
          </w:tcPr>
          <w:p>
            <w:pPr>
              <w:spacing w:after="0"/>
              <w:rPr>
                <w:sz w:val="17"/>
                <w:szCs w:val="17"/>
                <w:color w:val="auto"/>
              </w:rPr>
            </w:pPr>
          </w:p>
        </w:tc>
        <w:tc>
          <w:tcPr>
            <w:tcW w:w="8880" w:type="dxa"/>
            <w:vAlign w:val="bottom"/>
            <w:gridSpan w:val="6"/>
          </w:tcPr>
          <w:p>
            <w:pPr>
              <w:ind w:left="440"/>
              <w:spacing w:after="0" w:line="199" w:lineRule="exact"/>
              <w:rPr>
                <w:sz w:val="20"/>
                <w:szCs w:val="20"/>
                <w:color w:val="auto"/>
              </w:rPr>
            </w:pPr>
            <w:r>
              <w:rPr>
                <w:rFonts w:ascii="Times New Roman" w:cs="Times New Roman" w:eastAsia="Times New Roman" w:hAnsi="Times New Roman"/>
                <w:sz w:val="18"/>
                <w:szCs w:val="18"/>
                <w:color w:val="auto"/>
              </w:rPr>
              <w:t>terminated prior to the applicable date, the number of Vested Units (disregarding any resulting fractional Unit) as of</w:t>
            </w:r>
          </w:p>
        </w:tc>
      </w:tr>
      <w:tr>
        <w:trPr>
          <w:trHeight w:val="207"/>
        </w:trPr>
        <w:tc>
          <w:tcPr>
            <w:tcW w:w="2340" w:type="dxa"/>
            <w:vAlign w:val="bottom"/>
          </w:tcPr>
          <w:p>
            <w:pPr>
              <w:spacing w:after="0"/>
              <w:rPr>
                <w:sz w:val="17"/>
                <w:szCs w:val="17"/>
                <w:color w:val="auto"/>
              </w:rPr>
            </w:pP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 xml:space="preserve">any date is determined by multiplying the Total Number of Units by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Vested Ratio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determined as of such date,</w:t>
            </w:r>
          </w:p>
        </w:tc>
      </w:tr>
      <w:tr>
        <w:trPr>
          <w:trHeight w:val="234"/>
        </w:trPr>
        <w:tc>
          <w:tcPr>
            <w:tcW w:w="2340" w:type="dxa"/>
            <w:vAlign w:val="bottom"/>
          </w:tcPr>
          <w:p>
            <w:pPr>
              <w:spacing w:after="0"/>
              <w:rPr>
                <w:sz w:val="20"/>
                <w:szCs w:val="20"/>
                <w:color w:val="auto"/>
              </w:rPr>
            </w:pP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follows:</w:t>
            </w:r>
          </w:p>
        </w:tc>
        <w:tc>
          <w:tcPr>
            <w:tcW w:w="2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Vested Ratio</w:t>
            </w:r>
          </w:p>
        </w:tc>
        <w:tc>
          <w:tcPr>
            <w:tcW w:w="1100" w:type="dxa"/>
            <w:vAlign w:val="bottom"/>
          </w:tcPr>
          <w:p>
            <w:pPr>
              <w:spacing w:after="0"/>
              <w:rPr>
                <w:sz w:val="18"/>
                <w:szCs w:val="18"/>
                <w:color w:val="auto"/>
              </w:rPr>
            </w:pPr>
          </w:p>
        </w:tc>
      </w:tr>
      <w:tr>
        <w:trPr>
          <w:trHeight w:val="54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None</w:t>
            </w:r>
          </w:p>
        </w:tc>
        <w:tc>
          <w:tcPr>
            <w:tcW w:w="2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30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w:t>
      </w:r>
    </w:p>
    <w:p>
      <w:pPr>
        <w:spacing w:after="0" w:line="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this document, and by the Superseding Agreement, if any. The Participant acknowledges that copies of the Plan, the Restricted Stock Units Agreement and the prospectus for the Plan are posted to the participant’s online account through the Company designated stock compensation administration provider and</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37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52"/>
        </w:trPr>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25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1400 American Lane</w:t>
            </w:r>
          </w:p>
        </w:tc>
        <w:tc>
          <w:tcPr>
            <w:tcW w:w="5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Schaumburg, IL 60173</w:t>
            </w: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20" w:type="dxa"/>
            <w:vAlign w:val="bottom"/>
            <w:gridSpan w:val="2"/>
            <w:vMerge w:val="continue"/>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185420</wp:posOffset>
            </wp:positionV>
            <wp:extent cx="3497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2023 Equity Incentive Plan, as amended to the Date of Grant; Restricted Stock Units Agreement and Plan Prospectus</w:t>
      </w:r>
    </w:p>
    <w:p>
      <w:pPr>
        <w:sectPr>
          <w:pgSz w:w="11900" w:h="16838" w:orient="portrait"/>
          <w:cols w:equalWidth="0" w:num="1">
            <w:col w:w="11240"/>
          </w:cols>
          <w:pgMar w:left="320" w:top="34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jc w:val="center"/>
        <w:ind w:right="-19"/>
        <w:spacing w:after="0" w:line="225" w:lineRule="auto"/>
        <w:rPr>
          <w:sz w:val="20"/>
          <w:szCs w:val="20"/>
          <w:color w:val="auto"/>
        </w:rPr>
      </w:pPr>
      <w:r>
        <w:rPr>
          <w:rFonts w:ascii="Times New Roman" w:cs="Times New Roman" w:eastAsia="Times New Roman" w:hAnsi="Times New Roman"/>
          <w:sz w:val="20"/>
          <w:szCs w:val="20"/>
          <w:b w:val="1"/>
          <w:bCs w:val="1"/>
          <w:color w:val="auto"/>
        </w:rPr>
        <w:t>RESTRICTED STOCK UNITS AGREEMENT</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California Participants Executive and Board)</w:t>
      </w:r>
    </w:p>
    <w:p>
      <w:pPr>
        <w:spacing w:after="0" w:line="217"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0"/>
          <w:szCs w:val="20"/>
          <w:color w:val="auto"/>
        </w:rPr>
        <w:t xml:space="preserve">Paylocity Holding Corporation has granted to the Participant named in the </w:t>
      </w:r>
      <w:r>
        <w:rPr>
          <w:rFonts w:ascii="Times New Roman" w:cs="Times New Roman" w:eastAsia="Times New Roman" w:hAnsi="Times New Roman"/>
          <w:sz w:val="20"/>
          <w:szCs w:val="20"/>
          <w:i w:val="1"/>
          <w:iCs w:val="1"/>
          <w:color w:val="auto"/>
        </w:rPr>
        <w:t>Notice of Grant of Restricted Stock Units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to which this Restricted Stock Units Agreement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is attached an Award consisting of Restricted Stock Units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Unit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the terms and conditions set forth in the Grant Notice and this Agreement. The Award has been granted pursuant to and shall in all respects be subject to the terms and conditions of the Paylocity Holding Corporation 2023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 Prospectus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215"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 AND CONSTRUCTION</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Unless otherwise defined herein, capitalized terms shall have the meanings assigned to such terms in the Grant Notice or the Plan.</w:t>
      </w:r>
    </w:p>
    <w:p>
      <w:pPr>
        <w:spacing w:after="0" w:line="165" w:lineRule="exact"/>
        <w:rPr>
          <w:sz w:val="20"/>
          <w:szCs w:val="20"/>
          <w:color w:val="auto"/>
        </w:rPr>
      </w:pPr>
    </w:p>
    <w:p>
      <w:pPr>
        <w:ind w:right="220" w:firstLine="1296"/>
        <w:spacing w:after="0" w:line="268"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color w:val="auto"/>
        </w:rPr>
        <w:t>Construction</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3"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0"/>
          <w:szCs w:val="20"/>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98"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THE AWARD</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right="12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Grant of Units.</w:t>
      </w:r>
      <w:r>
        <w:rPr>
          <w:rFonts w:ascii="Times New Roman" w:cs="Times New Roman" w:eastAsia="Times New Roman" w:hAnsi="Times New Roman"/>
          <w:sz w:val="20"/>
          <w:szCs w:val="20"/>
          <w:color w:val="auto"/>
        </w:rPr>
        <w:t xml:space="preserve"> On the Date of Grant, the Participant shall acquire, subject to the provisions of this Agreement, the Total Number of Units set forth in the Grant Notice, subject to adjustment as provided in Section 10. Each Unit represents a right to receive on a date determined in accordance with the Grant Notice and this Agreement one (1) share of Stock.</w:t>
      </w:r>
    </w:p>
    <w:p>
      <w:pPr>
        <w:spacing w:after="0" w:line="189" w:lineRule="exact"/>
        <w:rPr>
          <w:sz w:val="20"/>
          <w:szCs w:val="20"/>
          <w:color w:val="auto"/>
        </w:rPr>
      </w:pPr>
    </w:p>
    <w:p>
      <w:pPr>
        <w:ind w:right="560" w:firstLine="1296"/>
        <w:spacing w:after="0" w:line="25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No Monetary Payment Required.</w:t>
      </w:r>
      <w:r>
        <w:rPr>
          <w:rFonts w:ascii="Times New Roman" w:cs="Times New Roman" w:eastAsia="Times New Roman" w:hAnsi="Times New Roman"/>
          <w:sz w:val="20"/>
          <w:szCs w:val="20"/>
          <w:color w:val="auto"/>
        </w:rPr>
        <w:t xml:space="preserve"> The Participant is not required to make any monetary payment (other than applicable tax withholding, if any) as a condition to receiving the Units or</w:t>
      </w:r>
    </w:p>
    <w:p>
      <w:pPr>
        <w:sectPr>
          <w:pgSz w:w="11900" w:h="16838" w:orient="portrait"/>
          <w:cols w:equalWidth="0" w:num="1">
            <w:col w:w="11220"/>
          </w:cols>
          <w:pgMar w:left="320" w:top="1409" w:right="359" w:bottom="1440" w:gutter="0" w:footer="0" w:header="0"/>
        </w:sectPr>
      </w:pPr>
    </w:p>
    <w:bookmarkStart w:id="50" w:name="page51"/>
    <w:bookmarkEnd w:id="50"/>
    <w:p>
      <w:pPr>
        <w:jc w:val="both"/>
        <w:ind w:right="160"/>
        <w:spacing w:after="0" w:line="239" w:lineRule="auto"/>
        <w:rPr>
          <w:sz w:val="20"/>
          <w:szCs w:val="20"/>
          <w:color w:val="auto"/>
        </w:rPr>
      </w:pPr>
      <w:r>
        <w:rPr>
          <w:rFonts w:ascii="Times New Roman" w:cs="Times New Roman" w:eastAsia="Times New Roman" w:hAnsi="Times New Roman"/>
          <w:sz w:val="20"/>
          <w:szCs w:val="20"/>
          <w:color w:val="auto"/>
        </w:rPr>
        <w:t>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214"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OF UNITS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19"/>
          <w:szCs w:val="19"/>
          <w:color w:val="auto"/>
        </w:rPr>
        <w:t>Units acquired pursuant to this Agreement shall become Vested Units as provided in the Grant Notice. In addition, Units acquired pursuant to this Agreement shall become Vested Units upon the Participant’s death or Disability (defined below) to the extent they have not otherwise become Vested Units.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 “Disability,” for purposes of accelerating vesting, means the permanent and total disability of the Participant, within the meaning of Section 22(e)(3) of the Code.</w:t>
      </w:r>
    </w:p>
    <w:p>
      <w:pPr>
        <w:spacing w:after="0" w:line="20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COMPANY REACQUISITION RIGHT</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Grant of Company Reacquisition Right.</w:t>
      </w:r>
      <w:r>
        <w:rPr>
          <w:rFonts w:ascii="Times New Roman" w:cs="Times New Roman" w:eastAsia="Times New Roman" w:hAnsi="Times New Roman"/>
          <w:sz w:val="20"/>
          <w:szCs w:val="20"/>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20"/>
          <w:szCs w:val="20"/>
          <w:b w:val="1"/>
          <w:bCs w:val="1"/>
          <w:i w:val="1"/>
          <w:iCs w:val="1"/>
          <w:color w:val="auto"/>
        </w:rPr>
        <w:t>“Unvested Units”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the Participant shall not be entitled to any payment therefor (the </w:t>
      </w:r>
      <w:r>
        <w:rPr>
          <w:rFonts w:ascii="Times New Roman" w:cs="Times New Roman" w:eastAsia="Times New Roman" w:hAnsi="Times New Roman"/>
          <w:sz w:val="20"/>
          <w:szCs w:val="20"/>
          <w:b w:val="1"/>
          <w:bCs w:val="1"/>
          <w:i w:val="1"/>
          <w:iCs w:val="1"/>
          <w:color w:val="auto"/>
        </w:rPr>
        <w:t>“Company Reacquisition Right”</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120" w:firstLine="1296"/>
        <w:spacing w:after="0" w:line="235"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color w:val="auto"/>
        </w:rPr>
        <w:t>Ownership Change Event, Non-Cash Dividends, Distributions and Adjustments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10,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20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SETTLEMENT OF THE AWARD</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20" w:firstLine="1296"/>
        <w:spacing w:after="0" w:line="237"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Issuance of Shares of Stock</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6.3, the Company shall issue to the Participant on the Settlement Date with respect to each Vested Unit to be settled on such date one (1) share of Stock. The Settlement Date with respect to a Unit shall be the date on which such Unit becomes a Vested Unit as provided by the Grant Notice (an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Original Settlement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provided, however, that if the Original Settlement Date would occur on a date on which a sale by the Participant of the shares to be issued in settlement of the Vested Units would violate the Trading Compliance Policy of the Company, the Settlement Date for such Vested Units shall be deferred until the next day on which the sale of such shares would not violate the Trading Compliance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8 or the Company’s Trading Compliance Policy.</w:t>
      </w:r>
    </w:p>
    <w:p>
      <w:pPr>
        <w:sectPr>
          <w:pgSz w:w="11900" w:h="16838" w:orient="portrait"/>
          <w:cols w:equalWidth="0" w:num="1">
            <w:col w:w="11240"/>
          </w:cols>
          <w:pgMar w:left="320" w:top="1413" w:right="339" w:bottom="1440" w:gutter="0" w:footer="0" w:header="0"/>
        </w:sectPr>
      </w:pPr>
    </w:p>
    <w:bookmarkStart w:id="51" w:name="page52"/>
    <w:bookmarkEnd w:id="51"/>
    <w:p>
      <w:pPr>
        <w:ind w:right="120" w:firstLine="1296"/>
        <w:spacing w:after="0" w:line="238"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211"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color w:val="auto"/>
        </w:rPr>
        <w:t>Restrictions on Grant of the Award and 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1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b w:val="1"/>
          <w:bCs w:val="1"/>
          <w:color w:val="auto"/>
        </w:rPr>
        <w:t>Fractional Shares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not be required to issue fractional shares upon the settlement of the Award.</w:t>
      </w:r>
    </w:p>
    <w:p>
      <w:pPr>
        <w:spacing w:after="0" w:line="229" w:lineRule="exact"/>
        <w:rPr>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PARTICIPANT COVENANTS</w:t>
      </w:r>
      <w:r>
        <w:rPr>
          <w:rFonts w:ascii="Times New Roman" w:cs="Times New Roman" w:eastAsia="Times New Roman" w:hAnsi="Times New Roman"/>
          <w:sz w:val="20"/>
          <w:szCs w:val="20"/>
          <w:b w:val="1"/>
          <w:bCs w:val="1"/>
          <w:color w:val="auto"/>
        </w:rPr>
        <w:t>.</w:t>
      </w:r>
    </w:p>
    <w:p>
      <w:pPr>
        <w:spacing w:after="0" w:line="243" w:lineRule="exact"/>
        <w:rPr>
          <w:sz w:val="20"/>
          <w:szCs w:val="20"/>
          <w:color w:val="auto"/>
        </w:rPr>
      </w:pPr>
    </w:p>
    <w:p>
      <w:pPr>
        <w:ind w:right="80" w:firstLine="1296"/>
        <w:spacing w:after="0" w:line="237"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Covenant Not to Disclose.</w:t>
      </w:r>
      <w:r>
        <w:rPr>
          <w:rFonts w:ascii="Times New Roman" w:cs="Times New Roman" w:eastAsia="Times New Roman" w:hAnsi="Times New Roman"/>
          <w:sz w:val="20"/>
          <w:szCs w:val="20"/>
          <w:color w:val="auto"/>
        </w:rPr>
        <w:t xml:space="preserve"> The Participant acknowledges that as a result of the Participant’s employment with Paylocity Corporation, an Illinois corporation (“</w:t>
      </w:r>
      <w:r>
        <w:rPr>
          <w:rFonts w:ascii="Times New Roman" w:cs="Times New Roman" w:eastAsia="Times New Roman" w:hAnsi="Times New Roman"/>
          <w:sz w:val="20"/>
          <w:szCs w:val="20"/>
          <w:b w:val="1"/>
          <w:bCs w:val="1"/>
          <w:i w:val="1"/>
          <w:iCs w:val="1"/>
          <w:color w:val="auto"/>
        </w:rPr>
        <w:t>Paylocity</w:t>
      </w:r>
      <w:r>
        <w:rPr>
          <w:rFonts w:ascii="Times New Roman" w:cs="Times New Roman" w:eastAsia="Times New Roman" w:hAnsi="Times New Roman"/>
          <w:sz w:val="20"/>
          <w:szCs w:val="20"/>
          <w:color w:val="auto"/>
        </w:rPr>
        <w:t>”), the Participant has gained access to Paylocity’s Confidential Information (defined below). During the Participant’s employment and thereafter, the Participant will not use, disclose, or reveal to any person any Confidential Information except when acting within the scope of the Participant’s duties or with prior written authorization from Paylocity’s Chief Human Resources Officer.</w:t>
      </w:r>
    </w:p>
    <w:p>
      <w:pPr>
        <w:spacing w:after="0" w:line="214" w:lineRule="exact"/>
        <w:rPr>
          <w:sz w:val="20"/>
          <w:szCs w:val="20"/>
          <w:color w:val="auto"/>
        </w:rPr>
      </w:pPr>
    </w:p>
    <w:p>
      <w:pPr>
        <w:ind w:right="40" w:firstLine="1952"/>
        <w:spacing w:after="0" w:line="234" w:lineRule="auto"/>
        <w:tabs>
          <w:tab w:leader="none" w:pos="241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all information belonging to,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relating to the business of Paylocity (including information received in confidence by Paylocity from its customers or suppliers or other third parties), which is not generally known, regardless of the manner in which it is stored or conveyed to the Participant, and which Paylocity has taken reasonable measures under the circumstances to protect from unauthorized use or disclosure, including, without limitation, Paylocity’s trade secrets, intellectual property, formulae and processes, customer and employee information, pricing information, business and marketing strategies, proprietary information and know-how, unpublished or pending patent applications and all related patent rights, discoveries, software code, formulas and processes relating to Paylocity’s business. Confidential Information does not include information that: (i) was generally known to the relevant public at the time of disclosure through no fault of the Participant; (ii) was lawfully received by the Participant from a third party; (iii) was known to the Participant prior to receipt from Paylocity; or (iv) was independently developed by the Participant or independent third parties. In each of the foregoing circumstances, this exception applies only if such public knowledge or possession by an independent third party was without breach by the Participant or any third party of any obligation of confidentiality or non-use, including the obligations and restrictions provided in this Agreement.</w:t>
      </w:r>
    </w:p>
    <w:p>
      <w:pPr>
        <w:sectPr>
          <w:pgSz w:w="11900" w:h="16838" w:orient="portrait"/>
          <w:cols w:equalWidth="0" w:num="1">
            <w:col w:w="11180"/>
          </w:cols>
          <w:pgMar w:left="320" w:top="1409" w:right="399" w:bottom="1440" w:gutter="0" w:footer="0" w:header="0"/>
        </w:sectPr>
      </w:pPr>
    </w:p>
    <w:bookmarkStart w:id="52" w:name="page53"/>
    <w:bookmarkEnd w:id="52"/>
    <w:p>
      <w:pPr>
        <w:ind w:right="60" w:firstLine="1952"/>
        <w:spacing w:after="0" w:line="235" w:lineRule="auto"/>
        <w:tabs>
          <w:tab w:leader="none" w:pos="24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Scope of Non-Disclosure; Return of Company Property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Nothing in this Section shall be deemed to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non-disclosure obligations under any applicable rule, statute, regulation, agreement or other Paylocity policy, or to prevent the Participant from providing truthful information to a government authority or in response to a valid subpoena or other court process. Upon termination of the Participant’s employment with Paylocity for any reason, the Participant will immediately return to Paylocity all Paylocity property, including, without limitation, all Confidential Information. The Participant understands that the 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1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Covenants Not to Solicit.</w:t>
      </w:r>
    </w:p>
    <w:p>
      <w:pPr>
        <w:spacing w:after="0" w:line="229" w:lineRule="exact"/>
        <w:rPr>
          <w:sz w:val="20"/>
          <w:szCs w:val="20"/>
          <w:color w:val="auto"/>
        </w:rPr>
      </w:pPr>
    </w:p>
    <w:p>
      <w:pPr>
        <w:ind w:firstLine="1952"/>
        <w:spacing w:after="0" w:line="239" w:lineRule="auto"/>
        <w:tabs>
          <w:tab w:leader="none" w:pos="236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Customer Non-Solicitation. </w:t>
      </w:r>
      <w:r>
        <w:rPr>
          <w:rFonts w:ascii="Times New Roman" w:cs="Times New Roman" w:eastAsia="Times New Roman" w:hAnsi="Times New Roman"/>
          <w:sz w:val="20"/>
          <w:szCs w:val="20"/>
          <w:color w:val="auto"/>
        </w:rPr>
        <w:t>During employment with Paylocity, the Participant agrees not to directly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indirectly contact, solicit or accept business from any of Paylocity’s customers, prospective customers, brokers, brokerage firms, business partners, business associates, or end users for the purpose of selling or soliciting products or services that are in competition with the products or services of Paylocity.</w:t>
      </w:r>
    </w:p>
    <w:p>
      <w:pPr>
        <w:ind w:right="100" w:firstLine="1952"/>
        <w:spacing w:after="0" w:line="234" w:lineRule="auto"/>
        <w:tabs>
          <w:tab w:leader="none" w:pos="237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Employee Non-Solicitation. </w:t>
      </w:r>
      <w:r>
        <w:rPr>
          <w:rFonts w:ascii="Times New Roman" w:cs="Times New Roman" w:eastAsia="Times New Roman" w:hAnsi="Times New Roman"/>
          <w:sz w:val="20"/>
          <w:szCs w:val="20"/>
          <w:color w:val="auto"/>
        </w:rPr>
        <w:t>During employment with Paylocity, the Participant agrees not to directly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indirectly contact, solicit or recruit any employees or exclusive independent contractors of Paylocity for the purpose of causing, inviting or encouraging any such employee to (i) terminate his or her employment or business relationship with Paylocity; and/or (ii) become employed or engaged by a person or entity that sells Competing Products (as defined below).</w:t>
      </w:r>
    </w:p>
    <w:p>
      <w:pPr>
        <w:spacing w:after="0" w:line="211" w:lineRule="exact"/>
        <w:rPr>
          <w:sz w:val="20"/>
          <w:szCs w:val="20"/>
          <w:color w:val="auto"/>
        </w:rPr>
      </w:pPr>
    </w:p>
    <w:p>
      <w:pPr>
        <w:ind w:right="20" w:firstLine="1296"/>
        <w:spacing w:after="0" w:line="23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Covenant Not to Compete.</w:t>
      </w:r>
      <w:r>
        <w:rPr>
          <w:rFonts w:ascii="Times New Roman" w:cs="Times New Roman" w:eastAsia="Times New Roman" w:hAnsi="Times New Roman"/>
          <w:sz w:val="20"/>
          <w:szCs w:val="20"/>
          <w:color w:val="auto"/>
        </w:rPr>
        <w:t xml:space="preserve"> During employment with Paylocity, the Participant agrees not to directly or indirectly, on behalf of Participant or in conjunction with any other person or entity: (i) own any business (other than less than 3% ownership in a publicly traded company) that sells Competing Products in the Restricted Territory; or (ii) work (whether as an employee, independent contractor, consultant, or otherwise) for any person or entity that sells Competing Products, in any role: (y) that is similar to the Participant’s then-current position or to any position the Participant held with the Company during the previous twenty-four (24) months, or (z) in which it would be beneficial for the Participant to use or rely upon Paylocity’s Confidential Information. The term “</w:t>
      </w:r>
      <w:r>
        <w:rPr>
          <w:rFonts w:ascii="Times New Roman" w:cs="Times New Roman" w:eastAsia="Times New Roman" w:hAnsi="Times New Roman"/>
          <w:sz w:val="20"/>
          <w:szCs w:val="20"/>
          <w:b w:val="1"/>
          <w:bCs w:val="1"/>
          <w:i w:val="1"/>
          <w:iCs w:val="1"/>
          <w:color w:val="auto"/>
        </w:rPr>
        <w:t>Competing Products</w:t>
      </w:r>
      <w:r>
        <w:rPr>
          <w:rFonts w:ascii="Times New Roman" w:cs="Times New Roman" w:eastAsia="Times New Roman" w:hAnsi="Times New Roman"/>
          <w:sz w:val="20"/>
          <w:szCs w:val="20"/>
          <w:color w:val="auto"/>
        </w:rPr>
        <w:t>” shall mean products or services sold by Paylocity, or any prospective product or service Paylocity has taken steps to develop, including, without limitation, any products or services related to software solutions for payroll, human capital management, human resources, benefits, time and labor, and talent management.</w:t>
      </w:r>
    </w:p>
    <w:p>
      <w:pPr>
        <w:spacing w:after="0" w:line="201" w:lineRule="exact"/>
        <w:rPr>
          <w:sz w:val="20"/>
          <w:szCs w:val="20"/>
          <w:color w:val="auto"/>
        </w:rPr>
      </w:pPr>
    </w:p>
    <w:p>
      <w:pPr>
        <w:ind w:right="240" w:firstLine="1296"/>
        <w:spacing w:after="0" w:line="250" w:lineRule="auto"/>
        <w:rPr>
          <w:sz w:val="20"/>
          <w:szCs w:val="20"/>
          <w:color w:val="auto"/>
        </w:rPr>
      </w:pPr>
      <w:r>
        <w:rPr>
          <w:rFonts w:ascii="Times New Roman" w:cs="Times New Roman" w:eastAsia="Times New Roman" w:hAnsi="Times New Roman"/>
          <w:sz w:val="19"/>
          <w:szCs w:val="19"/>
          <w:color w:val="auto"/>
        </w:rPr>
        <w:t xml:space="preserve">7.4 </w:t>
      </w:r>
      <w:r>
        <w:rPr>
          <w:rFonts w:ascii="Times New Roman" w:cs="Times New Roman" w:eastAsia="Times New Roman" w:hAnsi="Times New Roman"/>
          <w:sz w:val="19"/>
          <w:szCs w:val="19"/>
          <w:b w:val="1"/>
          <w:bCs w:val="1"/>
          <w:color w:val="auto"/>
        </w:rPr>
        <w:t>Acknowledgments.</w:t>
      </w:r>
      <w:r>
        <w:rPr>
          <w:rFonts w:ascii="Times New Roman" w:cs="Times New Roman" w:eastAsia="Times New Roman" w:hAnsi="Times New Roman"/>
          <w:sz w:val="19"/>
          <w:szCs w:val="19"/>
          <w:color w:val="auto"/>
        </w:rPr>
        <w:t xml:space="preserve"> The Participant acknowledges that: (i) the covenants of this Section 7 are supported by sufficient consideration, including access to Paylocity’s Legitimate Business Interests (defined below), and the Units awarded under this Agreement; (ii) Paylocity has invested substantial resources into the development, protection and retention of its Confidential Information, employees, customers, and business (collectively, “</w:t>
      </w:r>
      <w:r>
        <w:rPr>
          <w:rFonts w:ascii="Times New Roman" w:cs="Times New Roman" w:eastAsia="Times New Roman" w:hAnsi="Times New Roman"/>
          <w:sz w:val="19"/>
          <w:szCs w:val="19"/>
          <w:b w:val="1"/>
          <w:bCs w:val="1"/>
          <w:i w:val="1"/>
          <w:iCs w:val="1"/>
          <w:color w:val="auto"/>
        </w:rPr>
        <w:t>Legitimate Business Interests</w:t>
      </w:r>
      <w:r>
        <w:rPr>
          <w:rFonts w:ascii="Times New Roman" w:cs="Times New Roman" w:eastAsia="Times New Roman" w:hAnsi="Times New Roman"/>
          <w:sz w:val="19"/>
          <w:szCs w:val="19"/>
          <w:color w:val="auto"/>
        </w:rPr>
        <w:t>”); (iii) the Legitimate Business Interests have significant intrinsic value and are not readily achieved or duplicated; (iv) solely as a result of the Participant’s employment with Paylocity, the Participant has gained access to and familiarity with the Legitimate Business Interests; (v) the covenants of this Section 7 are therefore reasonable and necessary to protect the Legitimate Business Interests, and they are enforceable; and (vi) the provisions of this Section 7 do not restrain competition, limit the Participant’s ability to obtain employment of the Participant’s choosing or affect the Participant’s wages.</w:t>
      </w:r>
    </w:p>
    <w:p>
      <w:pPr>
        <w:spacing w:after="0" w:line="204" w:lineRule="exact"/>
        <w:rPr>
          <w:sz w:val="20"/>
          <w:szCs w:val="20"/>
          <w:color w:val="auto"/>
        </w:rPr>
      </w:pPr>
    </w:p>
    <w:p>
      <w:pPr>
        <w:ind w:right="46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color w:val="auto"/>
        </w:rPr>
        <w:t>Remedies and Relief.</w:t>
      </w:r>
      <w:r>
        <w:rPr>
          <w:rFonts w:ascii="Times New Roman" w:cs="Times New Roman" w:eastAsia="Times New Roman" w:hAnsi="Times New Roman"/>
          <w:sz w:val="20"/>
          <w:szCs w:val="20"/>
          <w:color w:val="auto"/>
        </w:rPr>
        <w:t xml:space="preserve"> In the event of any breach by the Participant of the provisions of this Section 7: (i) the Company shall have the right to require the Participant to deliver to the Company: (a) all Units granted to the Participant in the three (3) years preceding said breach; and (b) to the extent the</w:t>
      </w:r>
    </w:p>
    <w:p>
      <w:pPr>
        <w:sectPr>
          <w:pgSz w:w="11900" w:h="16838" w:orient="portrait"/>
          <w:cols w:equalWidth="0" w:num="1">
            <w:col w:w="11240"/>
          </w:cols>
          <w:pgMar w:left="320" w:top="1409" w:right="339" w:bottom="1440" w:gutter="0" w:footer="0" w:header="0"/>
        </w:sectPr>
      </w:pPr>
    </w:p>
    <w:bookmarkStart w:id="53" w:name="page54"/>
    <w:bookmarkEnd w:id="53"/>
    <w:p>
      <w:pPr>
        <w:ind w:right="40"/>
        <w:spacing w:after="0" w:line="235" w:lineRule="auto"/>
        <w:rPr>
          <w:sz w:val="20"/>
          <w:szCs w:val="20"/>
          <w:color w:val="auto"/>
        </w:rPr>
      </w:pPr>
      <w:r>
        <w:rPr>
          <w:rFonts w:ascii="Times New Roman" w:cs="Times New Roman" w:eastAsia="Times New Roman" w:hAnsi="Times New Roman"/>
          <w:sz w:val="20"/>
          <w:szCs w:val="20"/>
          <w:color w:val="auto"/>
        </w:rPr>
        <w:t>Participant has disposed of any Units so granted or shares of Stock issued in settlement of such Units, the net proceeds from all such dispositions; and (ii) any unvested Units shall be immediately forfeited (collectively, the “</w:t>
      </w:r>
      <w:r>
        <w:rPr>
          <w:rFonts w:ascii="Times New Roman" w:cs="Times New Roman" w:eastAsia="Times New Roman" w:hAnsi="Times New Roman"/>
          <w:sz w:val="20"/>
          <w:szCs w:val="20"/>
          <w:b w:val="1"/>
          <w:bCs w:val="1"/>
          <w:i w:val="1"/>
          <w:iCs w:val="1"/>
          <w:color w:val="auto"/>
        </w:rPr>
        <w:t>Repayment Obligation</w:t>
      </w:r>
      <w:r>
        <w:rPr>
          <w:rFonts w:ascii="Times New Roman" w:cs="Times New Roman" w:eastAsia="Times New Roman" w:hAnsi="Times New Roman"/>
          <w:sz w:val="20"/>
          <w:szCs w:val="20"/>
          <w:color w:val="auto"/>
        </w:rPr>
        <w:t>”). The determination of whether the Participant has engaged in a breach of Section 7 shall be determined by the Committee in its sole discretion. Any repayment obligations under this Section 7 shall be effected by the Participant within thirty (30) days of receipt of the Company’s written demand for repayment. The Company may provide for an offset to any future payments owed by the Participating Company Group to the Participant, if necessary, to satisfy the Repayment Obligation. The Participant agrees to execute such documents as may be necessary to effect the repayment obligations referred to in this Section. Nothing in this Section 7 shall limit Paylocity from pursuing any other remedies otherwise available in law or in equity, including a temporary retaining order, a preliminary injunction, and a permanent injunction enjoining Participant’s breach or threatened breach of any of the provisions of this Agreement or from seeking enforcement of any other restrictions by which the Participant is bound under other agreements or applicable law.</w:t>
      </w:r>
    </w:p>
    <w:p>
      <w:pPr>
        <w:spacing w:after="0" w:line="201"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such provision will be distinct and severable from the other provisions of this Agreement, and such unenforceability will not affect the validity and enforceability of the remaining provisions. If a court holds that the duration, scope, geographic range or any other restriction stated in any provision of this Agreement is unreasonable under circumstances then existing, the parties agree that the maximum duration, scope, geographic range or other restriction that the court deems reasonable under such circumstances will be substituted and that the court will have the power to revise any of those restrictions to cover the maximum period, scope, geographic range and/or other restriction permitted by law. It is the intent of the parties that the court, in establishing any such substitute restriction, recognize that the parties’ desire is that the stated restrictions upon which the parties have agreed be honored to the maximum lawful extent.</w:t>
      </w:r>
    </w:p>
    <w:p>
      <w:pPr>
        <w:spacing w:after="0" w:line="216" w:lineRule="exact"/>
        <w:rPr>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color w:val="auto"/>
        </w:rPr>
        <w:t>In General.</w:t>
      </w:r>
      <w:r>
        <w:rPr>
          <w:rFonts w:ascii="Times New Roman" w:cs="Times New Roman" w:eastAsia="Times New Roman" w:hAnsi="Times New Roman"/>
          <w:sz w:val="20"/>
          <w:szCs w:val="20"/>
          <w:color w:val="auto"/>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spacing w:after="0" w:line="211" w:lineRule="exact"/>
        <w:rPr>
          <w:sz w:val="20"/>
          <w:szCs w:val="20"/>
          <w:color w:val="auto"/>
        </w:rPr>
      </w:pPr>
    </w:p>
    <w:p>
      <w:pPr>
        <w:ind w:right="60" w:firstLine="1296"/>
        <w:spacing w:after="0" w:line="237"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color w:val="auto"/>
        </w:rPr>
        <w:t>Assignment of Sale Proceeds.</w:t>
      </w:r>
      <w:r>
        <w:rPr>
          <w:rFonts w:ascii="Times New Roman" w:cs="Times New Roman" w:eastAsia="Times New Roman" w:hAnsi="Times New Roman"/>
          <w:sz w:val="20"/>
          <w:szCs w:val="20"/>
          <w:color w:val="auto"/>
        </w:rPr>
        <w:t xml:space="preserve"> 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214" w:lineRule="exact"/>
        <w:rPr>
          <w:sz w:val="20"/>
          <w:szCs w:val="20"/>
          <w:color w:val="auto"/>
        </w:rPr>
      </w:pPr>
    </w:p>
    <w:p>
      <w:pPr>
        <w:ind w:firstLine="1296"/>
        <w:spacing w:after="0" w:line="237"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color w:val="auto"/>
        </w:rPr>
        <w:t>Withholding in Shares.</w:t>
      </w:r>
      <w:r>
        <w:rPr>
          <w:rFonts w:ascii="Times New Roman" w:cs="Times New Roman" w:eastAsia="Times New Roman" w:hAnsi="Times New Roman"/>
          <w:sz w:val="20"/>
          <w:szCs w:val="20"/>
          <w:color w:val="auto"/>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statutory withholding rates.</w:t>
      </w:r>
    </w:p>
    <w:p>
      <w:pPr>
        <w:sectPr>
          <w:pgSz w:w="11900" w:h="16838" w:orient="portrait"/>
          <w:cols w:equalWidth="0" w:num="1">
            <w:col w:w="11200"/>
          </w:cols>
          <w:pgMar w:left="320" w:top="1413" w:right="379" w:bottom="1440" w:gutter="0" w:footer="0" w:header="0"/>
        </w:sectPr>
      </w:pPr>
    </w:p>
    <w:bookmarkStart w:id="54" w:name="page55"/>
    <w:bookmarkEnd w:id="54"/>
    <w:p>
      <w:pPr>
        <w:ind w:left="1940" w:hanging="636"/>
        <w:spacing w:after="0"/>
        <w:tabs>
          <w:tab w:leader="none" w:pos="194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EFFECT OF CHANGE IN CONTROL</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0"/>
          <w:szCs w:val="20"/>
          <w:color w:val="auto"/>
        </w:rPr>
        <w:t>In the event of a Change in Control, except to the extent that the Committee determines to cash out the Award in accordance with Section 13.1(e) of the Plan, the surviving, continuing, successor, or purchasing entity or parent thereof, as the case may be (the “</w:t>
      </w:r>
      <w:r>
        <w:rPr>
          <w:rFonts w:ascii="Times New Roman" w:cs="Times New Roman" w:eastAsia="Times New Roman" w:hAnsi="Times New Roman"/>
          <w:sz w:val="20"/>
          <w:szCs w:val="20"/>
          <w:b w:val="1"/>
          <w:bCs w:val="1"/>
          <w:i w:val="1"/>
          <w:iCs w:val="1"/>
          <w:color w:val="auto"/>
        </w:rPr>
        <w:t>Acquiror</w:t>
      </w:r>
      <w:r>
        <w:rPr>
          <w:rFonts w:ascii="Times New Roman" w:cs="Times New Roman" w:eastAsia="Times New Roman" w:hAnsi="Times New Roman"/>
          <w:sz w:val="20"/>
          <w:szCs w:val="20"/>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or the Change in Control to the extent that Units subject to the Award are neither assumed or continued by the Acquiror in connection with the Change in Control nor settled as of the time of the Change in Control.</w:t>
      </w:r>
    </w:p>
    <w:p>
      <w:pPr>
        <w:spacing w:after="0" w:line="205" w:lineRule="exact"/>
        <w:rPr>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ADJUSTMENTS FOR CHANGES IN CAPITAL STRUCTURE</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9"/>
          <w:szCs w:val="19"/>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209" w:lineRule="exact"/>
        <w:rPr>
          <w:sz w:val="20"/>
          <w:szCs w:val="20"/>
          <w:color w:val="auto"/>
        </w:rPr>
      </w:pPr>
    </w:p>
    <w:p>
      <w:pPr>
        <w:ind w:left="1280" w:hanging="624"/>
        <w:spacing w:after="0"/>
        <w:tabs>
          <w:tab w:leader="none" w:pos="12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RIGHTS AS A STOCKHOLDER, DIRECTOR, EMPLOYEE OR CONSULTANT</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w:t>
      </w:r>
    </w:p>
    <w:p>
      <w:pPr>
        <w:sectPr>
          <w:pgSz w:w="11900" w:h="16838" w:orient="portrait"/>
          <w:cols w:equalWidth="0" w:num="1">
            <w:col w:w="11220"/>
          </w:cols>
          <w:pgMar w:left="320" w:top="1409" w:right="359" w:bottom="1440" w:gutter="0" w:footer="0" w:header="0"/>
        </w:sectPr>
      </w:pPr>
    </w:p>
    <w:bookmarkStart w:id="55" w:name="page56"/>
    <w:bookmarkEnd w:id="55"/>
    <w:p>
      <w:pPr>
        <w:ind w:right="280"/>
        <w:spacing w:after="0" w:line="255" w:lineRule="auto"/>
        <w:rPr>
          <w:sz w:val="20"/>
          <w:szCs w:val="20"/>
          <w:color w:val="auto"/>
        </w:rPr>
      </w:pPr>
      <w:r>
        <w:rPr>
          <w:rFonts w:ascii="Times New Roman" w:cs="Times New Roman" w:eastAsia="Times New Roman" w:hAnsi="Times New Roman"/>
          <w:sz w:val="20"/>
          <w:szCs w:val="20"/>
          <w:color w:val="auto"/>
        </w:rPr>
        <w:t>Participating Company or interfere in any way with any right of the Participating Company Group to terminate the Participant’s Service at any time.</w:t>
      </w:r>
    </w:p>
    <w:p>
      <w:pPr>
        <w:spacing w:after="0" w:line="196"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LEGENDS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right="340" w:firstLine="648"/>
        <w:spacing w:after="0" w:line="244" w:lineRule="auto"/>
        <w:rPr>
          <w:sz w:val="20"/>
          <w:szCs w:val="20"/>
          <w:color w:val="auto"/>
        </w:rPr>
      </w:pPr>
      <w:r>
        <w:rPr>
          <w:rFonts w:ascii="Times New Roman" w:cs="Times New Roman" w:eastAsia="Times New Roman" w:hAnsi="Times New Roman"/>
          <w:sz w:val="20"/>
          <w:szCs w:val="20"/>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95"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COMPLIANCE WITH SECTION 409A</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0"/>
          <w:szCs w:val="20"/>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20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b w:val="1"/>
          <w:bCs w:val="1"/>
          <w:color w:val="auto"/>
        </w:rPr>
        <w:t xml:space="preserve">Separation from Service; Required Delay in Payment to Specified Employee. </w:t>
      </w:r>
      <w:r>
        <w:rPr>
          <w:rFonts w:ascii="Times New Roman" w:cs="Times New Roman" w:eastAsia="Times New Roman" w:hAnsi="Times New Roman"/>
          <w:sz w:val="19"/>
          <w:szCs w:val="19"/>
          <w:color w:val="auto"/>
        </w:rPr>
        <w:t>Notwithstanding anything set forth</w:t>
      </w:r>
    </w:p>
    <w:p>
      <w:pPr>
        <w:spacing w:after="0" w:line="2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 xml:space="preserve">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20"/>
          <w:szCs w:val="20"/>
          <w:b w:val="1"/>
          <w:bCs w:val="1"/>
          <w:i w:val="1"/>
          <w:i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409A Regulations”</w:t>
      </w:r>
      <w:r>
        <w:rPr>
          <w:rFonts w:ascii="Times New Roman" w:cs="Times New Roman" w:eastAsia="Times New Roman" w:hAnsi="Times New Roman"/>
          <w:sz w:val="20"/>
          <w:szCs w:val="20"/>
          <w:color w:val="auto"/>
        </w:rPr>
        <w:t>) shall be paid unless and until the Participant has incurred a “separation from service” within the meaning of the Section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214"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b w:val="1"/>
          <w:bCs w:val="1"/>
          <w:color w:val="auto"/>
        </w:rPr>
        <w:t>Other Changes in Time of Payment.</w:t>
      </w:r>
      <w:r>
        <w:rPr>
          <w:rFonts w:ascii="Times New Roman" w:cs="Times New Roman" w:eastAsia="Times New Roman" w:hAnsi="Times New Roman"/>
          <w:sz w:val="20"/>
          <w:szCs w:val="20"/>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89"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b w:val="1"/>
          <w:bCs w:val="1"/>
          <w:color w:val="auto"/>
        </w:rPr>
        <w:t>Amendments to Comply with Section 409A; Indemnification.</w:t>
      </w:r>
      <w:r>
        <w:rPr>
          <w:rFonts w:ascii="Times New Roman" w:cs="Times New Roman" w:eastAsia="Times New Roman" w:hAnsi="Times New Roman"/>
          <w:sz w:val="20"/>
          <w:szCs w:val="20"/>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99" w:lineRule="exact"/>
        <w:rPr>
          <w:sz w:val="20"/>
          <w:szCs w:val="20"/>
          <w:color w:val="auto"/>
        </w:rPr>
      </w:pPr>
    </w:p>
    <w:p>
      <w:pPr>
        <w:ind w:right="100" w:firstLine="1296"/>
        <w:spacing w:after="0" w:line="241"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b w:val="1"/>
          <w:bCs w:val="1"/>
          <w:color w:val="auto"/>
        </w:rPr>
        <w:t>Advice of Independent Tax Advisor.</w:t>
      </w:r>
      <w:r>
        <w:rPr>
          <w:rFonts w:ascii="Times New Roman" w:cs="Times New Roman" w:eastAsia="Times New Roman" w:hAnsi="Times New Roman"/>
          <w:sz w:val="20"/>
          <w:szCs w:val="20"/>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w:t>
      </w:r>
    </w:p>
    <w:p>
      <w:pPr>
        <w:sectPr>
          <w:pgSz w:w="11900" w:h="16838" w:orient="portrait"/>
          <w:cols w:equalWidth="0" w:num="1">
            <w:col w:w="11240"/>
          </w:cols>
          <w:pgMar w:left="320" w:top="1413" w:right="339" w:bottom="1440" w:gutter="0" w:footer="0" w:header="0"/>
        </w:sectPr>
      </w:pPr>
    </w:p>
    <w:bookmarkStart w:id="56" w:name="page57"/>
    <w:bookmarkEnd w:id="56"/>
    <w:p>
      <w:pPr>
        <w:jc w:val="both"/>
        <w:ind w:right="660"/>
        <w:spacing w:after="0" w:line="247" w:lineRule="auto"/>
        <w:rPr>
          <w:sz w:val="20"/>
          <w:szCs w:val="20"/>
          <w:color w:val="auto"/>
        </w:rPr>
      </w:pPr>
      <w:r>
        <w:rPr>
          <w:rFonts w:ascii="Times New Roman" w:cs="Times New Roman" w:eastAsia="Times New Roman" w:hAnsi="Times New Roman"/>
          <w:sz w:val="20"/>
          <w:szCs w:val="20"/>
          <w:color w:val="auto"/>
        </w:rPr>
        <w:t>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90"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REPAYMENT/FORFEITURE</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benefits a Participant may receive pursuant to this Award shall be subject to repayment or forfeiture as required to comply with</w:t>
      </w:r>
    </w:p>
    <w:p>
      <w:pPr>
        <w:spacing w:after="0" w:line="20" w:lineRule="exact"/>
        <w:rPr>
          <w:sz w:val="20"/>
          <w:szCs w:val="20"/>
          <w:color w:val="auto"/>
        </w:rPr>
      </w:pPr>
    </w:p>
    <w:p>
      <w:pPr>
        <w:ind w:right="20" w:firstLine="8"/>
        <w:spacing w:after="0" w:line="233" w:lineRule="auto"/>
        <w:tabs>
          <w:tab w:leader="none" w:pos="26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Paylocity Holding Corporation Policy for Recovery of Erroneously Awarded Incentive Compensation, or (d) any other repayment or forfeiture policies adopted by the Company, each to the extent determined by the Company in its discretion to be applicable to Participant.</w:t>
      </w:r>
    </w:p>
    <w:p>
      <w:pPr>
        <w:spacing w:after="0" w:line="214"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60" w:firstLine="1296"/>
        <w:spacing w:after="0"/>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b w:val="1"/>
          <w:bCs w:val="1"/>
          <w:color w:val="auto"/>
        </w:rPr>
        <w:t>Termination or Amendment.</w:t>
      </w:r>
      <w:r>
        <w:rPr>
          <w:rFonts w:ascii="Times New Roman" w:cs="Times New Roman" w:eastAsia="Times New Roman" w:hAnsi="Times New Roman"/>
          <w:sz w:val="20"/>
          <w:szCs w:val="20"/>
          <w:color w:val="auto"/>
        </w:rPr>
        <w:t xml:space="preserve"> The Committee may terminate or amend the Plan or this Agreement at any time; provided, however, that except as provided in Section 9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200"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b w:val="1"/>
          <w:bCs w:val="1"/>
          <w:color w:val="auto"/>
        </w:rPr>
        <w:t>Nontransferability of the Award.</w:t>
      </w:r>
      <w:r>
        <w:rPr>
          <w:rFonts w:ascii="Times New Roman" w:cs="Times New Roman" w:eastAsia="Times New Roman" w:hAnsi="Times New Roman"/>
          <w:sz w:val="20"/>
          <w:szCs w:val="20"/>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95" w:lineRule="exact"/>
        <w:rPr>
          <w:sz w:val="20"/>
          <w:szCs w:val="20"/>
          <w:color w:val="auto"/>
        </w:rPr>
      </w:pPr>
    </w:p>
    <w:p>
      <w:pPr>
        <w:ind w:right="60" w:firstLine="1296"/>
        <w:spacing w:after="0" w:line="280"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1"/>
          <w:szCs w:val="21"/>
          <w:b w:val="1"/>
          <w:bCs w:val="1"/>
          <w:color w:val="auto"/>
        </w:rPr>
        <w:t>Further Instruments.</w:t>
      </w:r>
      <w:r>
        <w:rPr>
          <w:rFonts w:ascii="Times New Roman" w:cs="Times New Roman" w:eastAsia="Times New Roman" w:hAnsi="Times New Roman"/>
          <w:sz w:val="20"/>
          <w:szCs w:val="20"/>
          <w:color w:val="auto"/>
        </w:rPr>
        <w:t xml:space="preserve"> The parties hereto agree to execute such further instruments and to take such further action as may reasonably be necessary to carry out the intent of this Agreement.</w:t>
      </w:r>
    </w:p>
    <w:p>
      <w:pPr>
        <w:spacing w:after="0" w:line="165" w:lineRule="exact"/>
        <w:rPr>
          <w:sz w:val="20"/>
          <w:szCs w:val="20"/>
          <w:color w:val="auto"/>
        </w:rPr>
      </w:pPr>
    </w:p>
    <w:p>
      <w:pPr>
        <w:ind w:right="260" w:firstLine="1296"/>
        <w:spacing w:after="0" w:line="252"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1"/>
          <w:szCs w:val="21"/>
          <w:b w:val="1"/>
          <w:bCs w:val="1"/>
          <w:color w:val="auto"/>
        </w:rPr>
        <w:t>Binding Effect.</w:t>
      </w:r>
      <w:r>
        <w:rPr>
          <w:rFonts w:ascii="Times New Roman" w:cs="Times New Roman" w:eastAsia="Times New Roman" w:hAnsi="Times New Roman"/>
          <w:sz w:val="20"/>
          <w:szCs w:val="20"/>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81" w:lineRule="exact"/>
        <w:rPr>
          <w:sz w:val="20"/>
          <w:szCs w:val="20"/>
          <w:color w:val="auto"/>
        </w:rPr>
      </w:pPr>
    </w:p>
    <w:p>
      <w:pPr>
        <w:ind w:right="200" w:firstLine="1296"/>
        <w:spacing w:after="0" w:line="278"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20"/>
          <w:szCs w:val="20"/>
          <w:b w:val="1"/>
          <w:bCs w:val="1"/>
          <w:color w:val="auto"/>
        </w:rPr>
        <w:t>Advice of Counsel.</w:t>
      </w:r>
      <w:r>
        <w:rPr>
          <w:rFonts w:ascii="Times New Roman" w:cs="Times New Roman" w:eastAsia="Times New Roman" w:hAnsi="Times New Roman"/>
          <w:sz w:val="19"/>
          <w:szCs w:val="19"/>
          <w:color w:val="auto"/>
        </w:rPr>
        <w:t xml:space="preserve"> The Participant is hereby advised to have this Agreement, including without limitation the restrictive covenants set forth in Section 7 herein, reviewed by an attorney of the Participant’s choosing. The Participant acknowledges and agrees that the Participant has had a period of at least fourteen (14) days to review and consider this Agreement before entering into it.</w:t>
      </w:r>
    </w:p>
    <w:p>
      <w:pPr>
        <w:spacing w:after="0" w:line="159"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19"/>
          <w:szCs w:val="19"/>
          <w:color w:val="auto"/>
        </w:rPr>
        <w:t xml:space="preserve">15.6 </w:t>
      </w:r>
      <w:r>
        <w:rPr>
          <w:rFonts w:ascii="Times New Roman" w:cs="Times New Roman" w:eastAsia="Times New Roman" w:hAnsi="Times New Roman"/>
          <w:sz w:val="20"/>
          <w:szCs w:val="20"/>
          <w:b w:val="1"/>
          <w:bCs w:val="1"/>
          <w:color w:val="auto"/>
        </w:rPr>
        <w:t>Delivery of Documents and Notices.</w:t>
      </w:r>
      <w:r>
        <w:rPr>
          <w:rFonts w:ascii="Times New Roman" w:cs="Times New Roman" w:eastAsia="Times New Roman" w:hAnsi="Times New Roman"/>
          <w:sz w:val="19"/>
          <w:szCs w:val="19"/>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ectPr>
          <w:pgSz w:w="11900" w:h="16838" w:orient="portrait"/>
          <w:cols w:equalWidth="0" w:num="1">
            <w:col w:w="11220"/>
          </w:cols>
          <w:pgMar w:left="320" w:top="1413" w:right="359" w:bottom="1440" w:gutter="0" w:footer="0" w:header="0"/>
        </w:sectPr>
      </w:pPr>
    </w:p>
    <w:bookmarkStart w:id="57" w:name="page58"/>
    <w:bookmarkEnd w:id="57"/>
    <w:p>
      <w:pPr>
        <w:spacing w:after="0" w:line="206" w:lineRule="exact"/>
        <w:rPr>
          <w:sz w:val="20"/>
          <w:szCs w:val="20"/>
          <w:color w:val="auto"/>
        </w:rPr>
      </w:pPr>
    </w:p>
    <w:p>
      <w:pPr>
        <w:ind w:left="2460" w:hanging="508"/>
        <w:spacing w:after="0"/>
        <w:tabs>
          <w:tab w:leader="none" w:pos="24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Description of Electronic Delivery. </w:t>
      </w:r>
      <w:r>
        <w:rPr>
          <w:rFonts w:ascii="Times New Roman" w:cs="Times New Roman" w:eastAsia="Times New Roman" w:hAnsi="Times New Roman"/>
          <w:sz w:val="19"/>
          <w:szCs w:val="19"/>
          <w:color w:val="auto"/>
        </w:rPr>
        <w:t>The Plan documents, which may include but do not necessarily</w:t>
      </w:r>
    </w:p>
    <w:p>
      <w:pPr>
        <w:spacing w:after="0" w:line="22" w:lineRule="exact"/>
        <w:rPr>
          <w:rFonts w:ascii="Times New Roman" w:cs="Times New Roman" w:eastAsia="Times New Roman" w:hAnsi="Times New Roman"/>
          <w:sz w:val="22"/>
          <w:szCs w:val="22"/>
          <w:color w:val="auto"/>
        </w:rPr>
      </w:pPr>
    </w:p>
    <w:p>
      <w:pPr>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93" w:lineRule="exact"/>
        <w:rPr>
          <w:rFonts w:ascii="Times New Roman" w:cs="Times New Roman" w:eastAsia="Times New Roman" w:hAnsi="Times New Roman"/>
          <w:sz w:val="22"/>
          <w:szCs w:val="22"/>
          <w:color w:val="auto"/>
        </w:rPr>
      </w:pPr>
    </w:p>
    <w:p>
      <w:pPr>
        <w:ind w:right="20" w:firstLine="1952"/>
        <w:spacing w:after="0" w:line="247" w:lineRule="auto"/>
        <w:tabs>
          <w:tab w:leader="none" w:pos="241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Consent to Electronic Delivery. </w:t>
      </w:r>
      <w:r>
        <w:rPr>
          <w:rFonts w:ascii="Times New Roman" w:cs="Times New Roman" w:eastAsia="Times New Roman" w:hAnsi="Times New Roman"/>
          <w:sz w:val="19"/>
          <w:szCs w:val="19"/>
          <w:color w:val="auto"/>
        </w:rPr>
        <w:t>The Participant acknowledges that the Participant has read Section 15.6(a)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of this Agreement and consents to the electronic delivery of the Plan documents and, if permitted by the Company, the delivery of the Grant Notice, as described in Section 15.6(a).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15.6(a)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15.6(a)</w:t>
      </w:r>
    </w:p>
    <w:p>
      <w:pPr>
        <w:spacing w:after="0" w:line="204" w:lineRule="exact"/>
        <w:rPr>
          <w:rFonts w:ascii="Times New Roman" w:cs="Times New Roman" w:eastAsia="Times New Roman" w:hAnsi="Times New Roman"/>
          <w:sz w:val="22"/>
          <w:szCs w:val="22"/>
          <w:color w:val="auto"/>
        </w:rPr>
      </w:pPr>
    </w:p>
    <w:p>
      <w:pPr>
        <w:ind w:right="100" w:firstLine="1952"/>
        <w:spacing w:after="0"/>
        <w:tabs>
          <w:tab w:leader="none" w:pos="24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Electronic Signatures. </w:t>
      </w:r>
      <w:r>
        <w:rPr>
          <w:rFonts w:ascii="Times New Roman" w:cs="Times New Roman" w:eastAsia="Times New Roman" w:hAnsi="Times New Roman"/>
          <w:sz w:val="19"/>
          <w:szCs w:val="19"/>
          <w:color w:val="auto"/>
        </w:rPr>
        <w:t>The Participant agrees that the electronic signatures, whether digital or encrypted,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 parties included in the Agreement are intended to authenticate this writing and to have the same force and effect as manual signatures. Electronic signature means any electronic sound, symbol or process attached to or logically associated with a record and executed and adopted by a party with the intent to sign such record.</w:t>
      </w:r>
    </w:p>
    <w:p>
      <w:pPr>
        <w:spacing w:after="0" w:line="207" w:lineRule="exact"/>
        <w:rPr>
          <w:sz w:val="20"/>
          <w:szCs w:val="20"/>
          <w:color w:val="auto"/>
        </w:rPr>
      </w:pPr>
    </w:p>
    <w:p>
      <w:pPr>
        <w:ind w:right="100" w:firstLine="1296"/>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15.7 </w:t>
      </w:r>
      <w:r>
        <w:rPr>
          <w:rFonts w:ascii="Times New Roman" w:cs="Times New Roman" w:eastAsia="Times New Roman" w:hAnsi="Times New Roman"/>
          <w:sz w:val="21"/>
          <w:szCs w:val="21"/>
          <w:b w:val="1"/>
          <w:bCs w:val="1"/>
          <w:color w:val="auto"/>
        </w:rPr>
        <w:t>Integrated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Notice, this Agreement and the Plan, together with the Superseding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20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15.8 </w:t>
      </w:r>
      <w:r>
        <w:rPr>
          <w:rFonts w:ascii="Times New Roman" w:cs="Times New Roman" w:eastAsia="Times New Roman" w:hAnsi="Times New Roman"/>
          <w:sz w:val="21"/>
          <w:szCs w:val="21"/>
          <w:b w:val="1"/>
          <w:bCs w:val="1"/>
          <w:color w:val="auto"/>
        </w:rPr>
        <w:t>Applicable Law; Forum Selection.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governed by the laws of the State of California.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agree that any suit, action, or other legal proceeding arising out of or relating to this Agreement may be brought in a court of competent jurisdiction located within California. The parties agree and consent to service by mail of any paper initiating any suit, action, or proceeding at the address set forth herein. The Participant agrees to update the Participant’s address with the Company as soon as possible after a change in address occurs and acknowledges that it is the Participant’s responsibility to ensure that the Company has the Participant’s correct address on file. The Participant waives any objection to service by mail where the Company addresses service to the most recent address provided by the Participant.</w:t>
      </w:r>
    </w:p>
    <w:p>
      <w:pPr>
        <w:spacing w:after="0" w:line="194" w:lineRule="exact"/>
        <w:rPr>
          <w:sz w:val="20"/>
          <w:szCs w:val="20"/>
          <w:color w:val="auto"/>
        </w:rPr>
      </w:pPr>
    </w:p>
    <w:p>
      <w:pPr>
        <w:ind w:right="160" w:firstLine="1296"/>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15.9 </w:t>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Notice may be executed in counterparts, each of which shall be deemed an original,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which together shall constitute one and the same instrument.</w:t>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36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ectPr>
          <w:pgSz w:w="11900" w:h="16838" w:orient="portrait"/>
          <w:cols w:equalWidth="0" w:num="1">
            <w:col w:w="11240"/>
          </w:cols>
          <w:pgMar w:left="320" w:top="36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6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September 30, 2025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1)"/>
      <w:numFmt w:val="lowerLetter"/>
      <w:start w:val="1"/>
    </w:lvl>
  </w:abstractNum>
  <w:abstractNum w:abstractNumId="3">
    <w:nsid w:val="7C3DBD3D"/>
    <w:multiLevelType w:val="hybridMultilevel"/>
    <w:lvl w:ilvl="0">
      <w:lvlJc w:val="left"/>
      <w:lvlText w:val="(%1)"/>
      <w:numFmt w:val="lowerLetter"/>
      <w:start w:val="2"/>
    </w:lvl>
  </w:abstractNum>
  <w:abstractNum w:abstractNumId="4">
    <w:nsid w:val="737B8DDC"/>
    <w:multiLevelType w:val="hybridMultilevel"/>
    <w:lvl w:ilvl="0">
      <w:lvlJc w:val="left"/>
      <w:lvlText w:val="(%1)"/>
      <w:numFmt w:val="lowerLetter"/>
      <w:start w:val="3"/>
    </w:lvl>
  </w:abstractNum>
  <w:abstractNum w:abstractNumId="5">
    <w:nsid w:val="6CEAF087"/>
    <w:multiLevelType w:val="hybridMultilevel"/>
    <w:lvl w:ilvl="0">
      <w:lvlJc w:val="left"/>
      <w:lvlText w:val="(%1)"/>
      <w:numFmt w:val="lowerLetter"/>
      <w:start w:val="4"/>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bullet"/>
      <w:start w:val="1"/>
    </w:lvl>
  </w:abstractNum>
  <w:abstractNum w:abstractNumId="17">
    <w:nsid w:val="5C482A97"/>
    <w:multiLevelType w:val="hybridMultilevel"/>
    <w:lvl w:ilvl="0">
      <w:lvlJc w:val="left"/>
      <w:lvlText w:val="2"/>
      <w:numFmt w:val="bullet"/>
      <w:start w:val="1"/>
    </w:lvl>
  </w:abstractNum>
  <w:abstractNum w:abstractNumId="18">
    <w:nsid w:val="2463B9EA"/>
    <w:multiLevelType w:val="hybridMultilevel"/>
    <w:lvl w:ilvl="0">
      <w:lvlJc w:val="left"/>
      <w:lvlText w:val="3"/>
      <w:numFmt w:val="bullet"/>
      <w:start w:val="1"/>
    </w:lvl>
  </w:abstractNum>
  <w:abstractNum w:abstractNumId="19">
    <w:nsid w:val="5E884ADC"/>
    <w:multiLevelType w:val="hybridMultilevel"/>
    <w:lvl w:ilvl="0">
      <w:lvlJc w:val="left"/>
      <w:lvlText w:val="4"/>
      <w:numFmt w:val="bullet"/>
      <w:start w:val="1"/>
    </w:lvl>
  </w:abstractNum>
  <w:abstractNum w:abstractNumId="20">
    <w:nsid w:val="51EAD36B"/>
    <w:multiLevelType w:val="hybridMultilevel"/>
    <w:lvl w:ilvl="0">
      <w:lvlJc w:val="left"/>
      <w:lvlText w:val="5"/>
      <w:numFmt w:val="bullet"/>
      <w:start w:val="1"/>
    </w:lvl>
  </w:abstractNum>
  <w:abstractNum w:abstractNumId="21">
    <w:nsid w:val="2D517796"/>
    <w:multiLevelType w:val="hybridMultilevel"/>
    <w:lvl w:ilvl="0">
      <w:lvlJc w:val="left"/>
      <w:lvlText w:val="6"/>
      <w:numFmt w:val="bullet"/>
      <w:start w:val="1"/>
    </w:lvl>
  </w:abstractNum>
  <w:abstractNum w:abstractNumId="22">
    <w:nsid w:val="580BD78F"/>
    <w:multiLevelType w:val="hybridMultilevel"/>
    <w:lvl w:ilvl="0">
      <w:lvlJc w:val="left"/>
      <w:lvlText w:val="7"/>
      <w:numFmt w:val="bullet"/>
      <w:start w:val="1"/>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8"/>
      <w:numFmt w:val="bullet"/>
      <w:start w:val="1"/>
    </w:lvl>
  </w:abstractNum>
  <w:abstractNum w:abstractNumId="26">
    <w:nsid w:val="6A2342EC"/>
    <w:multiLevelType w:val="hybridMultilevel"/>
    <w:lvl w:ilvl="0">
      <w:lvlJc w:val="left"/>
      <w:lvlText w:val="9"/>
      <w:numFmt w:val="bullet"/>
      <w:start w:val="1"/>
    </w:lvl>
  </w:abstractNum>
  <w:abstractNum w:abstractNumId="27">
    <w:nsid w:val="2A487CB0"/>
    <w:multiLevelType w:val="hybridMultilevel"/>
    <w:lvl w:ilvl="0">
      <w:lvlJc w:val="left"/>
      <w:lvlText w:val="%1"/>
      <w:numFmt w:val="decimal"/>
      <w:start w:val="10"/>
    </w:lvl>
  </w:abstractNum>
  <w:abstractNum w:abstractNumId="28">
    <w:nsid w:val="1D4ED43B"/>
    <w:multiLevelType w:val="hybridMultilevel"/>
    <w:lvl w:ilvl="0">
      <w:lvlJc w:val="left"/>
      <w:lvlText w:val="%1"/>
      <w:numFmt w:val="decimal"/>
      <w:start w:val="11"/>
    </w:lvl>
  </w:abstractNum>
  <w:abstractNum w:abstractNumId="29">
    <w:nsid w:val="725A06FB"/>
    <w:multiLevelType w:val="hybridMultilevel"/>
    <w:lvl w:ilvl="0">
      <w:lvlJc w:val="left"/>
      <w:lvlText w:val="%1"/>
      <w:numFmt w:val="decimal"/>
      <w:start w:val="12"/>
    </w:lvl>
  </w:abstractNum>
  <w:abstractNum w:abstractNumId="30">
    <w:nsid w:val="2CD89A32"/>
    <w:multiLevelType w:val="hybridMultilevel"/>
    <w:lvl w:ilvl="0">
      <w:lvlJc w:val="left"/>
      <w:lvlText w:val="%1"/>
      <w:numFmt w:val="decimal"/>
      <w:start w:val="13"/>
    </w:lvl>
  </w:abstractNum>
  <w:abstractNum w:abstractNumId="31">
    <w:nsid w:val="57E4CCAF"/>
    <w:multiLevelType w:val="hybridMultilevel"/>
    <w:lvl w:ilvl="0">
      <w:lvlJc w:val="left"/>
      <w:lvlText w:val="%1"/>
      <w:numFmt w:val="decimal"/>
      <w:start w:val="14"/>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decimal"/>
      <w:start w:val="15"/>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2"/>
    </w:lvl>
  </w:abstractNum>
  <w:abstractNum w:abstractNumId="36">
    <w:nsid w:val="38437FDB"/>
    <w:multiLevelType w:val="hybridMultilevel"/>
    <w:lvl w:ilvl="0">
      <w:lvlJc w:val="left"/>
      <w:lvlText w:val="1"/>
      <w:numFmt w:val="bullet"/>
      <w:start w:val="1"/>
    </w:lvl>
  </w:abstractNum>
  <w:abstractNum w:abstractNumId="37">
    <w:nsid w:val="7644A45C"/>
    <w:multiLevelType w:val="hybridMultilevel"/>
    <w:lvl w:ilvl="0">
      <w:lvlJc w:val="left"/>
      <w:lvlText w:val="2"/>
      <w:numFmt w:val="bullet"/>
      <w:start w:val="1"/>
    </w:lvl>
  </w:abstractNum>
  <w:abstractNum w:abstractNumId="38">
    <w:nsid w:val="32FFF902"/>
    <w:multiLevelType w:val="hybridMultilevel"/>
    <w:lvl w:ilvl="0">
      <w:lvlJc w:val="left"/>
      <w:lvlText w:val="3"/>
      <w:numFmt w:val="bullet"/>
      <w:start w:val="1"/>
    </w:lvl>
  </w:abstractNum>
  <w:abstractNum w:abstractNumId="39">
    <w:nsid w:val="684A481A"/>
    <w:multiLevelType w:val="hybridMultilevel"/>
    <w:lvl w:ilvl="0">
      <w:lvlJc w:val="left"/>
      <w:lvlText w:val="4"/>
      <w:numFmt w:val="bullet"/>
      <w:start w:val="1"/>
    </w:lvl>
  </w:abstractNum>
  <w:abstractNum w:abstractNumId="40">
    <w:nsid w:val="579478FE"/>
    <w:multiLevelType w:val="hybridMultilevel"/>
    <w:lvl w:ilvl="0">
      <w:lvlJc w:val="left"/>
      <w:lvlText w:val="5"/>
      <w:numFmt w:val="bullet"/>
      <w:start w:val="1"/>
    </w:lvl>
  </w:abstractNum>
  <w:abstractNum w:abstractNumId="41">
    <w:nsid w:val="749ABB43"/>
    <w:multiLevelType w:val="hybridMultilevel"/>
    <w:lvl w:ilvl="0">
      <w:lvlJc w:val="left"/>
      <w:lvlText w:val="6"/>
      <w:numFmt w:val="bullet"/>
      <w:start w:val="1"/>
    </w:lvl>
  </w:abstractNum>
  <w:abstractNum w:abstractNumId="42">
    <w:nsid w:val="3DC240FB"/>
    <w:multiLevelType w:val="hybridMultilevel"/>
    <w:lvl w:ilvl="0">
      <w:lvlJc w:val="left"/>
      <w:lvlText w:val="7"/>
      <w:numFmt w:val="bullet"/>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2"/>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8"/>
      <w:numFmt w:val="bullet"/>
      <w:start w:val="1"/>
    </w:lvl>
  </w:abstractNum>
  <w:abstractNum w:abstractNumId="47">
    <w:nsid w:val="70C6A529"/>
    <w:multiLevelType w:val="hybridMultilevel"/>
    <w:lvl w:ilvl="0">
      <w:lvlJc w:val="left"/>
      <w:lvlText w:val="9"/>
      <w:numFmt w:val="bullet"/>
      <w:start w:val="1"/>
    </w:lvl>
  </w:abstractNum>
  <w:abstractNum w:abstractNumId="48">
    <w:nsid w:val="520EEDD1"/>
    <w:multiLevelType w:val="hybridMultilevel"/>
    <w:lvl w:ilvl="0">
      <w:lvlJc w:val="left"/>
      <w:lvlText w:val="%1"/>
      <w:numFmt w:val="decimal"/>
      <w:start w:val="10"/>
    </w:lvl>
  </w:abstractNum>
  <w:abstractNum w:abstractNumId="49">
    <w:nsid w:val="374A3FE6"/>
    <w:multiLevelType w:val="hybridMultilevel"/>
    <w:lvl w:ilvl="0">
      <w:lvlJc w:val="left"/>
      <w:lvlText w:val="%1"/>
      <w:numFmt w:val="decimal"/>
      <w:start w:val="11"/>
    </w:lvl>
  </w:abstractNum>
  <w:abstractNum w:abstractNumId="50">
    <w:nsid w:val="4F4EF005"/>
    <w:multiLevelType w:val="hybridMultilevel"/>
    <w:lvl w:ilvl="0">
      <w:lvlJc w:val="left"/>
      <w:lvlText w:val="%1"/>
      <w:numFmt w:val="decimal"/>
      <w:start w:val="12"/>
    </w:lvl>
  </w:abstractNum>
  <w:abstractNum w:abstractNumId="51">
    <w:nsid w:val="23F9C13C"/>
    <w:multiLevelType w:val="hybridMultilevel"/>
    <w:lvl w:ilvl="0">
      <w:lvlJc w:val="left"/>
      <w:lvlText w:val="%1"/>
      <w:numFmt w:val="decimal"/>
      <w:start w:val="13"/>
    </w:lvl>
  </w:abstractNum>
  <w:abstractNum w:abstractNumId="52">
    <w:nsid w:val="649BB77C"/>
    <w:multiLevelType w:val="hybridMultilevel"/>
    <w:lvl w:ilvl="0">
      <w:lvlJc w:val="left"/>
      <w:lvlText w:val="%1"/>
      <w:numFmt w:val="decimal"/>
      <w:start w:val="14"/>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15"/>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0" Type="http://schemas.openxmlformats.org/officeDocument/2006/relationships/hyperlink" Target="https://www.sec.gov/Archives/edgar/data/1591698/000159169823000278/pcty-20231130xexhibit31.htm" TargetMode="External"/><Relationship Id="rId71" Type="http://schemas.openxmlformats.org/officeDocument/2006/relationships/hyperlink" Target="https://www.sec.gov/Archives/edgar/data/1591698/000159169823000278/pcty-20231130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2025-11-05T09:08:06Z</dcterms:created>
  <dcterms:modified xsi:type="dcterms:W3CDTF">2025-11-05T09:08:06Z</dcterms:modified>
</cp:coreProperties>
</file>