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3"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63"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December 31, 2022</w:t>
      </w:r>
    </w:p>
    <w:p>
      <w:pPr>
        <w:spacing w:after="0" w:line="179"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001-36348</w:t>
      </w:r>
    </w:p>
    <w:p>
      <w:pPr>
        <w:spacing w:after="0" w:line="2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PAYLOCITY HOLDING CORPORATION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62" w:lineRule="exact"/>
        <w:rPr>
          <w:sz w:val="24"/>
          <w:szCs w:val="24"/>
          <w:color w:val="auto"/>
        </w:rPr>
      </w:pPr>
    </w:p>
    <w:tbl>
      <w:tblPr>
        <w:tblLayout w:type="fixed"/>
        <w:tblInd w:w="1640" w:type="dxa"/>
        <w:tblCellMar>
          <w:top w:w="0" w:type="dxa"/>
          <w:left w:w="0" w:type="dxa"/>
          <w:bottom w:w="0" w:type="dxa"/>
          <w:right w:w="0" w:type="dxa"/>
        </w:tblCellMar>
      </w:tblP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9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46-4066644</w:t>
            </w:r>
          </w:p>
        </w:tc>
      </w:t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31"/>
        </w:trPr>
        <w:tc>
          <w:tcPr>
            <w:tcW w:w="23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1400 American Lane</w:t>
            </w:r>
          </w:p>
        </w:tc>
        <w:tc>
          <w:tcPr>
            <w:tcW w:w="4960" w:type="dxa"/>
            <w:vAlign w:val="bottom"/>
          </w:tcPr>
          <w:p>
            <w:pPr>
              <w:spacing w:after="0"/>
              <w:rPr>
                <w:sz w:val="24"/>
                <w:szCs w:val="24"/>
                <w:color w:val="auto"/>
              </w:rPr>
            </w:pPr>
          </w:p>
        </w:tc>
      </w:tr>
      <w:tr>
        <w:trPr>
          <w:trHeight w:val="204"/>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Schaumburg, Illinois</w:t>
            </w:r>
          </w:p>
        </w:tc>
        <w:tc>
          <w:tcPr>
            <w:tcW w:w="49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60173</w:t>
            </w:r>
          </w:p>
        </w:tc>
      </w:tr>
      <w:tr>
        <w:trPr>
          <w:trHeight w:val="216"/>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(Zip Code)</w:t>
            </w:r>
          </w:p>
        </w:tc>
      </w:tr>
      <w:tr>
        <w:trPr>
          <w:trHeight w:val="257"/>
        </w:trPr>
        <w:tc>
          <w:tcPr>
            <w:tcW w:w="2380" w:type="dxa"/>
            <w:vAlign w:val="bottom"/>
          </w:tcPr>
          <w:p>
            <w:pPr>
              <w:spacing w:after="0"/>
              <w:rPr>
                <w:sz w:val="22"/>
                <w:szCs w:val="22"/>
                <w:color w:val="auto"/>
              </w:rPr>
            </w:pPr>
          </w:p>
        </w:tc>
        <w:tc>
          <w:tcPr>
            <w:tcW w:w="4960" w:type="dxa"/>
            <w:vAlign w:val="bottom"/>
          </w:tcPr>
          <w:p>
            <w:pPr>
              <w:jc w:val="right"/>
              <w:ind w:right="2828"/>
              <w:spacing w:after="0"/>
              <w:rPr>
                <w:sz w:val="20"/>
                <w:szCs w:val="20"/>
                <w:color w:val="auto"/>
              </w:rPr>
            </w:pPr>
            <w:r>
              <w:rPr>
                <w:rFonts w:ascii="Times New Roman" w:cs="Times New Roman" w:eastAsia="Times New Roman" w:hAnsi="Times New Roman"/>
                <w:sz w:val="14"/>
                <w:szCs w:val="14"/>
                <w:b w:val="1"/>
                <w:bCs w:val="1"/>
                <w:color w:val="auto"/>
              </w:rPr>
              <w:t>(847) 463-3200</w:t>
            </w:r>
          </w:p>
        </w:tc>
      </w:tr>
      <w:tr>
        <w:trPr>
          <w:trHeight w:val="188"/>
        </w:trPr>
        <w:tc>
          <w:tcPr>
            <w:tcW w:w="2380" w:type="dxa"/>
            <w:vAlign w:val="bottom"/>
          </w:tcPr>
          <w:p>
            <w:pPr>
              <w:spacing w:after="0"/>
              <w:rPr>
                <w:sz w:val="16"/>
                <w:szCs w:val="16"/>
                <w:color w:val="auto"/>
              </w:rPr>
            </w:pPr>
          </w:p>
        </w:tc>
        <w:tc>
          <w:tcPr>
            <w:tcW w:w="4960" w:type="dxa"/>
            <w:vAlign w:val="bottom"/>
          </w:tcPr>
          <w:p>
            <w:pPr>
              <w:jc w:val="center"/>
              <w:ind w:right="168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bl>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PCTY</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 LLC</w:t>
            </w:r>
          </w:p>
        </w:tc>
      </w:tr>
    </w:tbl>
    <w:p>
      <w:pPr>
        <w:spacing w:after="0" w:line="190" w:lineRule="exact"/>
        <w:rPr>
          <w:sz w:val="24"/>
          <w:szCs w:val="24"/>
          <w:color w:val="auto"/>
        </w:rPr>
      </w:pPr>
    </w:p>
    <w:p>
      <w:pPr>
        <w:ind w:right="80" w:firstLine="324"/>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right="220" w:firstLine="324"/>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ind w:right="120" w:firstLine="324"/>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760" w:type="dxa"/>
        <w:tblCellMar>
          <w:top w:w="0" w:type="dxa"/>
          <w:left w:w="0" w:type="dxa"/>
          <w:bottom w:w="0" w:type="dxa"/>
          <w:right w:w="0" w:type="dxa"/>
        </w:tblCellMar>
      </w:tblPr>
      <w:tr>
        <w:trPr>
          <w:trHeight w:val="188"/>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80" w:type="dxa"/>
            <w:vAlign w:val="bottom"/>
          </w:tcPr>
          <w:p>
            <w:pPr>
              <w:ind w:left="760"/>
              <w:spacing w:after="0"/>
              <w:rPr>
                <w:sz w:val="20"/>
                <w:szCs w:val="20"/>
                <w:color w:val="auto"/>
              </w:rPr>
            </w:pPr>
            <w:r>
              <w:rPr>
                <w:rFonts w:ascii="Wingdings" w:cs="Wingdings" w:eastAsia="Wingdings" w:hAnsi="Wingdings"/>
                <w:sz w:val="14"/>
                <w:szCs w:val="14"/>
                <w:b w:val="1"/>
                <w:bCs w:val="1"/>
                <w:color w:val="auto"/>
              </w:rPr>
              <w:t>x</w:t>
            </w: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Accelerated Filer</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r>
        <w:trPr>
          <w:trHeight w:val="329"/>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80" w:type="dxa"/>
            <w:vAlign w:val="bottom"/>
          </w:tcPr>
          <w:p>
            <w:pPr>
              <w:ind w:left="760"/>
              <w:spacing w:after="0"/>
              <w:rPr>
                <w:sz w:val="20"/>
                <w:szCs w:val="20"/>
                <w:color w:val="auto"/>
              </w:rPr>
            </w:pPr>
            <w:r>
              <w:rPr>
                <w:rFonts w:ascii="Wingdings" w:cs="Wingdings" w:eastAsia="Wingdings" w:hAnsi="Wingdings"/>
                <w:sz w:val="18"/>
                <w:szCs w:val="18"/>
                <w:b w:val="1"/>
                <w:bCs w:val="1"/>
                <w:color w:val="auto"/>
              </w:rPr>
              <w:t>o</w:t>
            </w: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r>
        <w:trPr>
          <w:trHeight w:val="305"/>
        </w:trPr>
        <w:tc>
          <w:tcPr>
            <w:tcW w:w="2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203" w:lineRule="exact"/>
        <w:rPr>
          <w:sz w:val="24"/>
          <w:szCs w:val="24"/>
          <w:color w:val="auto"/>
        </w:rPr>
      </w:pPr>
    </w:p>
    <w:p>
      <w:pPr>
        <w:ind w:right="220" w:firstLine="324"/>
        <w:spacing w:after="0" w:line="30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44"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46" w:lineRule="exact"/>
        <w:rPr>
          <w:sz w:val="24"/>
          <w:szCs w:val="24"/>
          <w:color w:val="auto"/>
        </w:rPr>
      </w:pPr>
    </w:p>
    <w:p>
      <w:pPr>
        <w:ind w:right="40" w:firstLine="324"/>
        <w:spacing w:after="0" w:line="302"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55,769,718 shares of Common Stock, $0.001 par value per share, as of January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20" w:type="dxa"/>
            <w:vAlign w:val="bottom"/>
            <w:gridSpan w:val="12"/>
            <w:vMerge w:val="restart"/>
          </w:tcPr>
          <w:p>
            <w:pPr>
              <w:jc w:val="center"/>
              <w:ind w:right="3660"/>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20" w:type="dxa"/>
            <w:vAlign w:val="bottom"/>
            <w:gridSpan w:val="12"/>
            <w:vMerge w:val="continue"/>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2880" w:type="dxa"/>
            <w:vAlign w:val="bottom"/>
            <w:tcBorders>
              <w:top w:val="single" w:sz="8" w:color="0000FF"/>
            </w:tcBorders>
            <w:gridSpan w:val="7"/>
          </w:tcPr>
          <w:p>
            <w:pPr>
              <w:spacing w:after="0"/>
              <w:rPr>
                <w:sz w:val="24"/>
                <w:szCs w:val="24"/>
                <w:color w:val="auto"/>
              </w:rPr>
            </w:pPr>
          </w:p>
        </w:tc>
        <w:tc>
          <w:tcPr>
            <w:tcW w:w="3800" w:type="dxa"/>
            <w:vAlign w:val="bottom"/>
            <w:gridSpan w:val="4"/>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Balance Sheets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6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Operations and Comprehensive Income</w:t>
            </w:r>
          </w:p>
        </w:tc>
        <w:tc>
          <w:tcPr>
            <w:tcW w:w="480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Statement of Changes in Stockholders’ Equity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1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Statements of Cash Flows</w:t>
            </w:r>
          </w:p>
        </w:tc>
        <w:tc>
          <w:tcPr>
            <w:tcW w:w="536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2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the Unaudited Consolidated Financial Statements</w:t>
            </w:r>
          </w:p>
        </w:tc>
        <w:tc>
          <w:tcPr>
            <w:tcW w:w="626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95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9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68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368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3960" w:type="dxa"/>
            <w:vAlign w:val="bottom"/>
            <w:gridSpan w:val="5"/>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5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940" w:type="dxa"/>
            <w:vAlign w:val="bottom"/>
            <w:gridSpan w:val="1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7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74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ITEM 3. DEFAULTS UPON SENIOR SECURITIES</w:t>
            </w:r>
          </w:p>
        </w:tc>
        <w:tc>
          <w:tcPr>
            <w:tcW w:w="6620" w:type="dxa"/>
            <w:vAlign w:val="bottom"/>
            <w:gridSpan w:val="1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2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540" w:type="dxa"/>
            <w:vAlign w:val="bottom"/>
            <w:tcBorders>
              <w:top w:val="single" w:sz="8" w:color="0000FF"/>
            </w:tcBorders>
            <w:gridSpan w:val="3"/>
          </w:tcPr>
          <w:p>
            <w:pPr>
              <w:spacing w:after="0"/>
              <w:rPr>
                <w:sz w:val="24"/>
                <w:szCs w:val="24"/>
                <w:color w:val="auto"/>
              </w:rPr>
            </w:pPr>
          </w:p>
        </w:tc>
        <w:tc>
          <w:tcPr>
            <w:tcW w:w="7380" w:type="dxa"/>
            <w:vAlign w:val="bottom"/>
            <w:gridSpan w:val="14"/>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8980" w:type="dxa"/>
            <w:vAlign w:val="bottom"/>
            <w:gridSpan w:val="2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580" w:type="dxa"/>
            <w:vAlign w:val="bottom"/>
            <w:gridSpan w:val="15"/>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FINANCIAL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PAYLOCITY HOLDING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Consolidated Balance Sheets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120,053</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24,540</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contract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68,557</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30,175</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 before funds held for clients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243,325</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Funds held for clients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3,987,776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3,065,697</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4,231,683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3,309,022</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59,506</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39,934</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102,054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contract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262,313</w:t>
            </w:r>
          </w:p>
        </w:tc>
      </w:tr>
      <w:tr>
        <w:trPr>
          <w:trHeight w:val="230"/>
        </w:trPr>
        <w:tc>
          <w:tcPr>
            <w:tcW w:w="81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prepaid expenses and other</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40,530</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4,809,014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3,937,773</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115,795</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 before client fund obligations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123,406</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Client fund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3,987,776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3,065,697</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4,120,534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3,189,103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65,353</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22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4,195,551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3,260,006</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75"/>
        </w:trPr>
        <w:tc>
          <w:tcPr>
            <w:tcW w:w="81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5,000 authorized, no shares issued and outstanding at June 30, 2022 and</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December 31, 2022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1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$0.001 par value, 155,000 shares authorized at June 30, 2022 and December 31, 2022;</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4"/>
        </w:trPr>
        <w:tc>
          <w:tcPr>
            <w:tcW w:w="818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55,190 shares issued and outstanding at June 30, 2022 and 55,768 shares issued and outstanding at</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34"/>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December 31, 2022</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310,050</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371,820</w:t>
            </w:r>
          </w:p>
        </w:tc>
      </w:tr>
      <w:tr>
        <w:trPr>
          <w:trHeight w:val="229"/>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677,767</w:t>
            </w:r>
          </w:p>
        </w:tc>
      </w:tr>
      <w:tr>
        <w:trPr>
          <w:trHeight w:val="22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4,809,014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3,937,773</w:t>
            </w: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PAYLOCITY HOLDING CORPORATION Unaudited Consolidated Statements of Operations and Comprehensive Income (in thousands, except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3"/>
                <w:szCs w:val="13"/>
                <w:color w:val="auto"/>
              </w:rPr>
            </w:pPr>
          </w:p>
        </w:tc>
      </w:tr>
      <w:tr>
        <w:trPr>
          <w:trHeight w:val="195"/>
        </w:trPr>
        <w:tc>
          <w:tcPr>
            <w:tcW w:w="5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195"/>
        </w:trPr>
        <w:tc>
          <w:tcPr>
            <w:tcW w:w="55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w w:val="92"/>
              </w:rPr>
              <w:t>2022</w:t>
            </w: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195,041</w:t>
            </w:r>
          </w:p>
        </w:tc>
        <w:tc>
          <w:tcPr>
            <w:tcW w:w="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256,434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375,865</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501,840</w:t>
            </w:r>
          </w:p>
        </w:tc>
      </w:tr>
      <w:tr>
        <w:trPr>
          <w:trHeight w:val="230"/>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24,448</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196,037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273,008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377,734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526,288</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70,821</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134,070</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174,619</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125,216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182,932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243,664</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351,669</w:t>
            </w: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75,694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102,104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146,757</w:t>
            </w:r>
          </w:p>
        </w:tc>
      </w:tr>
      <w:tr>
        <w:trPr>
          <w:trHeight w:val="229"/>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81,122</w:t>
            </w:r>
          </w:p>
        </w:tc>
      </w:tr>
      <w:tr>
        <w:trPr>
          <w:trHeight w:val="230"/>
        </w:trPr>
        <w:tc>
          <w:tcPr>
            <w:tcW w:w="5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74,816</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98,493</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117,078</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225,274</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326,372</w:t>
            </w:r>
          </w:p>
        </w:tc>
      </w:tr>
      <w:tr>
        <w:trPr>
          <w:trHeight w:val="223"/>
        </w:trPr>
        <w:tc>
          <w:tcPr>
            <w:tcW w:w="5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25,297</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3"/>
        </w:trPr>
        <w:tc>
          <w:tcPr>
            <w:tcW w:w="5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25,129</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(22,884)</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(20,823)</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9,853</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40,785</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45,952</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16,116</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40,375</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44,096</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5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4"/>
        </w:trPr>
        <w:tc>
          <w:tcPr>
            <w:tcW w:w="5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56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0.28</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0.72</w:t>
            </w:r>
          </w:p>
        </w:tc>
        <w:tc>
          <w:tcPr>
            <w:tcW w:w="80" w:type="dxa"/>
            <w:vAlign w:val="bottom"/>
          </w:tcPr>
          <w:p>
            <w:pPr>
              <w:spacing w:after="0"/>
              <w:rPr>
                <w:sz w:val="17"/>
                <w:szCs w:val="17"/>
                <w:color w:val="auto"/>
              </w:rPr>
            </w:pPr>
          </w:p>
        </w:tc>
        <w:tc>
          <w:tcPr>
            <w:tcW w:w="540" w:type="dxa"/>
            <w:vAlign w:val="bottom"/>
            <w:tcBorders>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0.81</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5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5"/>
        </w:trPr>
        <w:tc>
          <w:tcPr>
            <w:tcW w:w="5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55,067</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54,938</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56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56,468</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56,474</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56,486</w:t>
            </w:r>
          </w:p>
        </w:tc>
        <w:tc>
          <w:tcPr>
            <w:tcW w:w="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56,559</w:t>
            </w:r>
          </w:p>
        </w:tc>
      </w:tr>
      <w:tr>
        <w:trPr>
          <w:trHeight w:val="21"/>
        </w:trPr>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Changes in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gridSpan w:val="20"/>
          </w:tcPr>
          <w:p>
            <w:pPr>
              <w:ind w:left="320"/>
              <w:spacing w:after="0"/>
              <w:rPr>
                <w:sz w:val="20"/>
                <w:szCs w:val="20"/>
                <w:color w:val="auto"/>
              </w:rPr>
            </w:pPr>
            <w:r>
              <w:rPr>
                <w:rFonts w:ascii="Times New Roman" w:cs="Times New Roman" w:eastAsia="Times New Roman" w:hAnsi="Times New Roman"/>
                <w:sz w:val="13"/>
                <w:szCs w:val="13"/>
                <w:b w:val="1"/>
                <w:bCs w:val="1"/>
                <w:color w:val="auto"/>
              </w:rPr>
              <w:t>Three Months Ended December 31, 2021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40" w:type="dxa"/>
            <w:vAlign w:val="bottom"/>
            <w:gridSpan w:val="11"/>
          </w:tcPr>
          <w:p>
            <w:pPr>
              <w:jc w:val="center"/>
              <w:ind w:right="20"/>
              <w:spacing w:after="0" w:line="136"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4"/>
          </w:tcPr>
          <w:p>
            <w:pPr>
              <w:jc w:val="center"/>
              <w:ind w:right="120"/>
              <w:spacing w:after="0" w:line="136"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37"/>
              <w:spacing w:after="0" w:line="136"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September 30, 2021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55,019</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w w:val="91"/>
              </w:rPr>
              <w:t>55</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201,504</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266,023</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467,573</w:t>
            </w: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28,122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 exercised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383</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employee stock purchase plan</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7,216</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7,216</w:t>
            </w: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Net settlement for taxes and/or exercise price related to equity awards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(6,119)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losses on securities, net of tax</w:t>
            </w:r>
          </w:p>
        </w:tc>
        <w:tc>
          <w:tcPr>
            <w:tcW w:w="8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(335)</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9,853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9,853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55,105</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3"/>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w w:val="91"/>
              </w:rPr>
              <w:t>55</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4"/>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231,106</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4"/>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275,876</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(344)</w:t>
            </w:r>
          </w:p>
        </w:tc>
        <w:tc>
          <w:tcPr>
            <w:tcW w:w="100" w:type="dxa"/>
            <w:vAlign w:val="bottom"/>
            <w:tcBorders>
              <w:bottom w:val="single" w:sz="8" w:color="CCEEFF"/>
            </w:tcBorders>
            <w:gridSpan w:val="3"/>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506,693</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20"/>
          </w:tcPr>
          <w:p>
            <w:pPr>
              <w:ind w:left="320"/>
              <w:spacing w:after="0"/>
              <w:rPr>
                <w:sz w:val="20"/>
                <w:szCs w:val="20"/>
                <w:color w:val="auto"/>
              </w:rPr>
            </w:pPr>
            <w:r>
              <w:rPr>
                <w:rFonts w:ascii="Times New Roman" w:cs="Times New Roman" w:eastAsia="Times New Roman" w:hAnsi="Times New Roman"/>
                <w:sz w:val="13"/>
                <w:szCs w:val="13"/>
                <w:b w:val="1"/>
                <w:bCs w:val="1"/>
                <w:color w:val="auto"/>
              </w:rPr>
              <w:t>Three Months Ended December 31, 2022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11"/>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4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4"/>
            <w:vMerge w:val="restart"/>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4"/>
            <w:vMerge w:val="restart"/>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3"/>
            <w:vMerge w:val="restart"/>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September 30, 2022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55,664</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w w:val="76"/>
              </w:rPr>
              <w:t>56</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259,245</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356,220</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(4,675)</w:t>
            </w:r>
          </w:p>
        </w:tc>
        <w:tc>
          <w:tcPr>
            <w:tcW w:w="2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610,846</w:t>
            </w:r>
          </w:p>
        </w:tc>
        <w:tc>
          <w:tcPr>
            <w:tcW w:w="60" w:type="dxa"/>
            <w:vAlign w:val="bottom"/>
            <w:tcBorders>
              <w:left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47,653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47,653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 exercised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60" w:type="dxa"/>
            <w:vAlign w:val="bottom"/>
            <w:tcBorders>
              <w:left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employee stock purchase plan</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8,450</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8,450</w:t>
            </w:r>
          </w:p>
        </w:tc>
        <w:tc>
          <w:tcPr>
            <w:tcW w:w="60" w:type="dxa"/>
            <w:vAlign w:val="bottom"/>
            <w:tcBorders>
              <w:left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Net settlement for taxes and/or exercise price related to equity awards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(5,407)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gains on securities, net of tax</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60" w:type="dxa"/>
            <w:vAlign w:val="bottom"/>
            <w:tcBorders>
              <w:left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15,600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55,768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w w:val="76"/>
              </w:rPr>
              <w:t>56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310,050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371,820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(4,159)</w:t>
            </w: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677,767</w:t>
            </w:r>
          </w:p>
        </w:tc>
        <w:tc>
          <w:tcPr>
            <w:tcW w:w="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20"/>
          </w:tcPr>
          <w:p>
            <w:pPr>
              <w:ind w:left="360"/>
              <w:spacing w:after="0"/>
              <w:rPr>
                <w:sz w:val="20"/>
                <w:szCs w:val="20"/>
                <w:color w:val="auto"/>
              </w:rPr>
            </w:pPr>
            <w:r>
              <w:rPr>
                <w:rFonts w:ascii="Times New Roman" w:cs="Times New Roman" w:eastAsia="Times New Roman" w:hAnsi="Times New Roman"/>
                <w:sz w:val="13"/>
                <w:szCs w:val="13"/>
                <w:b w:val="1"/>
                <w:bCs w:val="1"/>
                <w:color w:val="auto"/>
              </w:rPr>
              <w:t>Six Months Ended December 31, 2021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9"/>
          </w:tcPr>
          <w:p>
            <w:pPr>
              <w:spacing w:after="0"/>
              <w:rPr>
                <w:sz w:val="2"/>
                <w:szCs w:val="2"/>
                <w:color w:val="auto"/>
              </w:rPr>
            </w:pPr>
          </w:p>
        </w:tc>
        <w:tc>
          <w:tcPr>
            <w:tcW w:w="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11"/>
          </w:tcPr>
          <w:p>
            <w:pPr>
              <w:ind w:left="4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41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4"/>
            <w:vMerge w:val="restart"/>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4"/>
            <w:vMerge w:val="restart"/>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60" w:type="dxa"/>
            <w:vAlign w:val="bottom"/>
            <w:gridSpan w:val="4"/>
            <w:vMerge w:val="restart"/>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 Income</w:t>
            </w: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bottom w:val="single" w:sz="8" w:color="CCEEFF"/>
            </w:tcBorders>
            <w:gridSpan w:val="2"/>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gridSpan w:val="3"/>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Borders>
              <w:bottom w:val="single" w:sz="8" w:color="CCEEFF"/>
            </w:tcBorders>
            <w:gridSpan w:val="3"/>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Borders>
              <w:bottom w:val="single" w:sz="8" w:color="CCEEFF"/>
            </w:tcBorders>
            <w:gridSpan w:val="3"/>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rPr>
              <w:t>(Loss)</w:t>
            </w:r>
          </w:p>
        </w:tc>
        <w:tc>
          <w:tcPr>
            <w:tcW w:w="6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June 30, 2021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54,594</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55</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5"/>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241,718</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5"/>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235,091</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4"/>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4"/>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476,930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49,228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49,228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6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 exercised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1,812</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6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employee stock purchase plan</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7,216</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Net settlement for taxes and/or exercise price related to equity awards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(68,868)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(68,868)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6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losses on securities, net of tax</w:t>
            </w: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40,785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40,785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6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2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55,105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55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5"/>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231,106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5"/>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275,876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4"/>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506,693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4"/>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20"/>
          </w:tcPr>
          <w:p>
            <w:pPr>
              <w:ind w:left="380"/>
              <w:spacing w:after="0"/>
              <w:rPr>
                <w:sz w:val="20"/>
                <w:szCs w:val="20"/>
                <w:color w:val="auto"/>
              </w:rPr>
            </w:pPr>
            <w:r>
              <w:rPr>
                <w:rFonts w:ascii="Times New Roman" w:cs="Times New Roman" w:eastAsia="Times New Roman" w:hAnsi="Times New Roman"/>
                <w:sz w:val="13"/>
                <w:szCs w:val="13"/>
                <w:b w:val="1"/>
                <w:bCs w:val="1"/>
                <w:color w:val="auto"/>
              </w:rPr>
              <w:t>Six Months Ended December 31, 2022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11"/>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40" w:type="dxa"/>
            <w:vAlign w:val="bottom"/>
            <w:gridSpan w:val="11"/>
          </w:tcPr>
          <w:p>
            <w:pPr>
              <w:ind w:left="460"/>
              <w:spacing w:after="0" w:line="136"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4"/>
          </w:tcPr>
          <w:p>
            <w:pPr>
              <w:jc w:val="center"/>
              <w:ind w:right="200"/>
              <w:spacing w:after="0" w:line="136"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77"/>
              <w:spacing w:after="0" w:line="136"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restart"/>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16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June 30, 2022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55,190</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5"/>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289,843</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5"/>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325,868</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4"/>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(2,303)</w:t>
            </w: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4"/>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613,463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91,124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220" w:type="dxa"/>
            <w:vAlign w:val="bottom"/>
            <w:gridSpan w:val="4"/>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 exercised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2,941</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220" w:type="dxa"/>
            <w:vAlign w:val="bottom"/>
            <w:gridSpan w:val="4"/>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employee stock purchase plan</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8,450</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Net settlement for taxes and/or exercise price related to equity awards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(82,307)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220" w:type="dxa"/>
            <w:vAlign w:val="bottom"/>
            <w:gridSpan w:val="4"/>
          </w:tcPr>
          <w:p>
            <w:pPr>
              <w:spacing w:after="0"/>
              <w:rPr>
                <w:sz w:val="2"/>
                <w:szCs w:val="2"/>
                <w:color w:val="auto"/>
              </w:rPr>
            </w:pPr>
          </w:p>
        </w:tc>
        <w:tc>
          <w:tcPr>
            <w:tcW w:w="8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losses on securities, net of tax</w:t>
            </w: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(1,856)</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45,952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45,952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6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2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55,768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5"/>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310,050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5"/>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371,820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4"/>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(4,159)</w:t>
            </w:r>
          </w:p>
        </w:tc>
        <w:tc>
          <w:tcPr>
            <w:tcW w:w="2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677,767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ectPr>
          <w:pgSz w:w="11900" w:h="16838" w:orient="portrait"/>
          <w:cols w:equalWidth="0" w:num="1">
            <w:col w:w="11220"/>
          </w:cols>
          <w:pgMar w:left="320" w:top="2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3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40,785</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45,952</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83,364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29,094</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 benefit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accretion of discounts and amortization of premiums on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(9,377)</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Deferred contract costs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(40,638)</w:t>
            </w: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(24,514)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(8,979)</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78,757</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(296,060)</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sales and maturities of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60,391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190,253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Capitalized internal-use software costs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(19,740)</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3"/>
        </w:trPr>
        <w:tc>
          <w:tcPr>
            <w:tcW w:w="818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(218,337)</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(132,181)</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change in client fund obligations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(922,079)</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(79,369)</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100,391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(993,862)</w:t>
            </w:r>
          </w:p>
        </w:tc>
        <w:tc>
          <w:tcPr>
            <w:tcW w:w="0" w:type="dxa"/>
            <w:vAlign w:val="bottom"/>
          </w:tcPr>
          <w:p>
            <w:pPr>
              <w:spacing w:after="0"/>
              <w:rPr>
                <w:sz w:val="1"/>
                <w:szCs w:val="1"/>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funds held for clients' cash and cash equivalents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(1,047,286)</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1,945,881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3,793,453</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equivalents—end of period</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1,854,793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2,746,167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 accrued but not paid</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Liabilities assumed for acquisitions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Refunds received for income taxes</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of cash, cash equivalents and funds held for clients' cash and cash equivalents to the Consolidated Balance Sheets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84,104</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120,053</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Funds held for clients' cash and cash equivalents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1,770,689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2,626,114</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funds held for clients' cash and cash equivalents</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1,854,793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2,746,167</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Paylocity Holding Corporation (the “Company”) is a cloud-based provider of human capital management and payroll software solutions that deliver a comprehensive platform for the modern workforce. Services are provided in a Software-as-a-Service (“SaaS”) delivery model. The Company’s comprehensive product suite delivers a unified platform that helps businesses attract and retain talent, build culture and connection with their employees, and streamline and automate HR and payroll processes.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98"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Basis of Presentation, Consolidation and Use of Estimates</w:t>
      </w:r>
    </w:p>
    <w:p>
      <w:pPr>
        <w:spacing w:after="0" w:line="18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These unaudited consolidated financial statements have been prepared in accordance with U.S. generally accepted accounting principles (“GAAP”). The unaudited consolidated financial statements include the accounts of the Company and its wholly owned subsidiaries. All intercompany accounts and transactions have been eliminated in consolidation.</w:t>
      </w:r>
    </w:p>
    <w:p>
      <w:pPr>
        <w:spacing w:after="0" w:line="13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may change as new events occur, as more experience is acquired, as additional information is obtained and as the operating environment changes.</w:t>
      </w:r>
    </w:p>
    <w:p>
      <w:pPr>
        <w:spacing w:after="0" w:line="156"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Interim Unaudited Consolidated Financial Information</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and six months ended December 31, 2022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2022 included in the Company’s Annual Report on Form 10-K.</w:t>
      </w:r>
    </w:p>
    <w:p>
      <w:pPr>
        <w:spacing w:after="0" w:line="144"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Income taxes are accounted for in accordance with ASC 740, Income Taxes, using the asset and liability method. The Company’s provision for income taxes is based on the annual effective rate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net-recorded amount, it would make an adjustment to the deferred tax asset valuation allowance, which would reduce the provision for income taxes.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0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Company derives its revenue from contracts predominantly from recurring and non-recurring service fees. While the majority of its agreements are generally cancellable by the client on 60 days’ notice or less, the Company also offers term agreements to its clients, which are generally two years in length. Recurring fees are derived from payroll, timekeeping, and HR-related cloud-based computing services. The majority of the Company’s recurring fees are satisfied over time as services are provided. The performance obligations related to payroll services are satisfied upon the processing of the client’s payroll with the fee charged and collected based on a per employee per payroll frequency fee. The performance obligations related to time and attendance services and HR related services are satisfied over time each month with the fee charged and collected based on a per employee per month fee. For subscription-based fees which can include payroll, time and attendance, and other HCM related services, the Company recognizes the applicable recurring fees over time each month with the fee charged and collected based on a per employee per month fee. Non-recurring service fees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total revenues from contracts by Recurring fees and Implementation services and other, which the Company believes depicts the nature, amount and timing of its revenue: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6"/>
        </w:trPr>
        <w:tc>
          <w:tcPr>
            <w:tcW w:w="50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7"/>
                <w:szCs w:val="17"/>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fees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362,856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484,341</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17,499</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from contracts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195,041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375,865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501,840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for recurring revenue is consistent with the timing of invoicing as they occur simultaneously based on the client payroll processing period or by month. As such, the Company does not recognize contract assets or liabilities related to recurring revenue.</w:t>
      </w:r>
    </w:p>
    <w:p>
      <w:pPr>
        <w:spacing w:after="0" w:line="121"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defers and amortizes nonrefundable upfront fees related to implementation services generally over a period up to 24 months based on the type of contract. The following table summarizes the changes in deferred revenue (i.e., contract liability) related to these nonrefundable upfront fees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48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8,717</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12,233</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Deferral of revenue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20,234</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(4,783)</w:t>
            </w:r>
          </w:p>
        </w:tc>
        <w:tc>
          <w:tcPr>
            <w:tcW w:w="8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(6,460)</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(9,153)</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(12,730)</w:t>
            </w:r>
          </w:p>
        </w:tc>
      </w:tr>
      <w:tr>
        <w:trPr>
          <w:trHeight w:val="25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19,737</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19,737</w:t>
            </w:r>
          </w:p>
        </w:tc>
      </w:tr>
      <w:tr>
        <w:trPr>
          <w:trHeight w:val="21"/>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Deferred revenue related to these nonrefundable upfront fees are recorded within Accrued expenses and Other long-term liabilities on the Unaudited Consolidated Balance Sheets. The Company expects to recognize these deferred revenue balances of $12,680 in fiscal 2023, $6,102 in fiscal 2024 and $955 in fiscal 2025 and thereafter.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5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Company utilizes the portfolio approach to account for both the cost of obtaining a contract and the cost of fulfilling a contract. These capitalized costs are amortized over the expected period of benefit, which has been determined to be over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deferred contract costs and the related amortization expense for these deferred contract costs: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December 31, 2021</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4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155,564</w:t>
            </w:r>
          </w:p>
        </w:tc>
      </w:tr>
      <w:tr>
        <w:trPr>
          <w:trHeight w:val="22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86,115</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241,679</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December 31, 2022</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
        </w:trPr>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6"/>
        </w:trPr>
        <w:tc>
          <w:tcPr>
            <w:tcW w:w="4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191,088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20,310</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200,553</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130,317</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308,612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330,870</w:t>
            </w:r>
          </w:p>
        </w:tc>
      </w:tr>
      <w:tr>
        <w:trPr>
          <w:trHeight w:val="21"/>
        </w:trPr>
        <w:tc>
          <w:tcPr>
            <w:tcW w:w="4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70"/>
        </w:trPr>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 December 31, 2021</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
        </w:trPr>
        <w:tc>
          <w:tcPr>
            <w:tcW w:w="4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6"/>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3"/>
        </w:trPr>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155,564</w:t>
            </w:r>
          </w:p>
        </w:tc>
      </w:tr>
      <w:tr>
        <w:trPr>
          <w:trHeight w:val="257"/>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86,115</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241,679</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 December 31, 2022</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
        </w:trPr>
        <w:tc>
          <w:tcPr>
            <w:tcW w:w="4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200,553</w:t>
            </w:r>
          </w:p>
        </w:tc>
      </w:tr>
      <w:tr>
        <w:trPr>
          <w:trHeight w:val="22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130,317</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330,870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Deferred contract costs are recorded within Deferred contract costs and Long-term deferred contract costs on the Unaudited Consolidated Balance Sheets. Amortization of deferred contract costs is primarily recorded in Cost of revenues and Sales and marketing in the Unaudited Consolidated Statements of Operations and Comprehensive Income.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89" w:lineRule="exact"/>
        <w:rPr>
          <w:sz w:val="20"/>
          <w:szCs w:val="20"/>
          <w:color w:val="auto"/>
        </w:rPr>
      </w:pPr>
    </w:p>
    <w:p>
      <w:pPr>
        <w:ind w:right="1040" w:firstLine="648"/>
        <w:spacing w:after="0" w:line="282" w:lineRule="auto"/>
        <w:rPr>
          <w:sz w:val="20"/>
          <w:szCs w:val="20"/>
          <w:color w:val="auto"/>
        </w:rPr>
      </w:pPr>
      <w:r>
        <w:rPr>
          <w:rFonts w:ascii="Times New Roman" w:cs="Times New Roman" w:eastAsia="Times New Roman" w:hAnsi="Times New Roman"/>
          <w:sz w:val="18"/>
          <w:szCs w:val="18"/>
          <w:color w:val="auto"/>
        </w:rPr>
        <w:t>The balance of the Company’s remaining performance obligations related to minimum monthly fees on its term-based contracts was approximately $53,940 as of December 31, 2022, which will be generally recognized over the next 24</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months. This balance excludes the value of unsatisfied performance obligations for contracts that have an original expected duration of one year or less and contracts for which the variable consideration is allocated entirely to wholly unsatisfied performance obligations.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20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January 18, 2022, the Company acquired all of the shares outstanding of Cloudsnap, Inc., ("Cloudsnap") through a merger for cash consideration of $50,002, which was paid upon closing. Cloudsnap is a provider of a flexible, low-code solution for integrating disparate business applications. This transaction enables the Company to deliver modern integrations and seamless data sharing between critical systems more efficiently and effectively, while helping to unify and automate business processes across clients' HR, finance, benefits, and other systems.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allocation of the purchase price for Cloudsnap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January 18, 2022</w:t>
            </w:r>
          </w:p>
        </w:tc>
      </w:tr>
      <w:tr>
        <w:trPr>
          <w:trHeight w:val="23"/>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33,628</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acquired</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w:t>
            </w:r>
          </w:p>
        </w:tc>
      </w:tr>
      <w:tr>
        <w:trPr>
          <w:trHeight w:val="22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50,002</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did not record any material purchase accounting adjustments for Cloudsnap during the six months ended December 31, 2022. The Company accounts for business combinations in accordance with ASC 805, Business Combinations. The Company applied the acquisition method of accounting and recorded the assets acquired and liabilities assumed at their respective estimated fair values as of the date of the acquisition with the excess consideration paid recorded as goodwill.</w:t>
      </w:r>
    </w:p>
    <w:p>
      <w:pPr>
        <w:spacing w:after="0" w:line="153"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results from this acquisition have been included in the Company’s consolidated financial statements since the closing of the acquisition and are not material to the Company. Pro forma information is not presented because the effects of the acquisition are not material to the Company’s consolidated financial statements. The goodwill related to this acquisition is primarily attributable to the assembled workforce and growth opportunities from the expansion and enhancement of the Company’s product offerings. The goodwill associated with this acquisition is not deductible for income tax purposes. Direct costs related to the acquisition were immaterial and were expensed as incurred as General and administrative.</w:t>
      </w:r>
    </w:p>
    <w:p>
      <w:pPr>
        <w:sectPr>
          <w:pgSz w:w="11900" w:h="16838" w:orient="portrait"/>
          <w:cols w:equalWidth="0" w:num="1">
            <w:col w:w="11240"/>
          </w:cols>
          <w:pgMar w:left="320" w:top="256" w:right="339" w:bottom="1440" w:gutter="0" w:footer="0" w:header="0"/>
        </w:sectPr>
      </w:pP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Information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 details of selected consolidated balance sheet items: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Activity in the allowance for credit losses related to accounts receivable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June 30, 2022</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internal-use software and accumulated amortization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280" w:hanging="1167"/>
        <w:spacing w:after="0"/>
        <w:tabs>
          <w:tab w:leader="none" w:pos="2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841</w:t>
      </w:r>
    </w:p>
    <w:p>
      <w:pPr>
        <w:spacing w:after="0" w:line="49" w:lineRule="exact"/>
        <w:rPr>
          <w:rFonts w:ascii="Times New Roman" w:cs="Times New Roman" w:eastAsia="Times New Roman" w:hAnsi="Times New Roman"/>
          <w:sz w:val="18"/>
          <w:szCs w:val="18"/>
          <w:color w:val="auto"/>
        </w:rPr>
      </w:pPr>
    </w:p>
    <w:p>
      <w:pPr>
        <w:ind w:left="2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602</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26035</wp:posOffset>
            </wp:positionV>
            <wp:extent cx="9429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43" w:lineRule="exact"/>
        <w:rPr>
          <w:sz w:val="20"/>
          <w:szCs w:val="20"/>
          <w:color w:val="auto"/>
        </w:rPr>
      </w:pPr>
    </w:p>
    <w:p>
      <w:pPr>
        <w:ind w:left="2140" w:hanging="1027"/>
        <w:spacing w:after="0"/>
        <w:tabs>
          <w:tab w:leader="none" w:pos="2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26035</wp:posOffset>
            </wp:positionV>
            <wp:extent cx="9429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2975"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51435</wp:posOffset>
            </wp:positionV>
            <wp:extent cx="9429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19"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15" w:lineRule="exact"/>
        <w:rPr>
          <w:sz w:val="20"/>
          <w:szCs w:val="20"/>
          <w:color w:val="auto"/>
        </w:rPr>
      </w:pPr>
    </w:p>
    <w:p>
      <w:pPr>
        <w:sectPr>
          <w:pgSz w:w="11900" w:h="16838" w:orient="portrait"/>
          <w:cols w:equalWidth="0" w:num="2">
            <w:col w:w="7940" w:space="720"/>
            <w:col w:w="2580"/>
          </w:cols>
          <w:pgMar w:left="320" w:top="256"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404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193,156</w:t>
            </w:r>
          </w:p>
        </w:tc>
        <w:tc>
          <w:tcPr>
            <w:tcW w:w="10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216,774</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0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(131,171)</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(145,691)</w:t>
            </w:r>
          </w:p>
        </w:tc>
        <w:tc>
          <w:tcPr>
            <w:tcW w:w="0" w:type="dxa"/>
            <w:vAlign w:val="bottom"/>
          </w:tcPr>
          <w:p>
            <w:pPr>
              <w:spacing w:after="0"/>
              <w:rPr>
                <w:sz w:val="1"/>
                <w:szCs w:val="1"/>
                <w:color w:val="auto"/>
              </w:rPr>
            </w:pPr>
          </w:p>
        </w:tc>
      </w:tr>
      <w:tr>
        <w:trPr>
          <w:trHeight w:val="277"/>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44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14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140" w:type="dxa"/>
            <w:vAlign w:val="bottom"/>
            <w:tcBorders>
              <w:bottom w:val="single" w:sz="8" w:color="9A9A9A"/>
            </w:tcBorders>
          </w:tcPr>
          <w:p>
            <w:pPr>
              <w:spacing w:after="0"/>
              <w:rPr>
                <w:sz w:val="8"/>
                <w:szCs w:val="8"/>
                <w:color w:val="auto"/>
              </w:rPr>
            </w:pPr>
          </w:p>
        </w:tc>
        <w:tc>
          <w:tcPr>
            <w:tcW w:w="40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Amortization of capitalized internal-use software costs is primarily included in Cost of revenues and amounted to $6,087 and $7,478 for the three months ended December 31, 2021 and 2022, respectively, and $12,215 and $14,520 for the six months ended December 31, 2021 and 2022, respectively.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major classes of property and equipment, net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54,065</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9,808</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47,723</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 clocks rented by clients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7,463</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135,668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136,216</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(72,829)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(76,710)</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amounted to $3,974 and $4,579 for the three months ended December 31, 2021 and 2022, respectively, and $7,816 and $9,033 for the six months ended December 31, 2021 and 2022, respectively.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changes in goodwill during the six months ended December 31,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101,949</w:t>
            </w: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3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left="937"/>
              <w:spacing w:after="0"/>
              <w:rPr>
                <w:sz w:val="20"/>
                <w:szCs w:val="20"/>
                <w:color w:val="auto"/>
              </w:rPr>
            </w:pPr>
            <w:r>
              <w:rPr>
                <w:rFonts w:ascii="Times New Roman" w:cs="Times New Roman" w:eastAsia="Times New Roman" w:hAnsi="Times New Roman"/>
                <w:sz w:val="18"/>
                <w:szCs w:val="18"/>
                <w:color w:val="auto"/>
                <w:w w:val="96"/>
              </w:rPr>
              <w:t>105</w:t>
            </w:r>
          </w:p>
        </w:tc>
        <w:tc>
          <w:tcPr>
            <w:tcW w:w="0" w:type="dxa"/>
            <w:vAlign w:val="bottom"/>
          </w:tcPr>
          <w:p>
            <w:pPr>
              <w:spacing w:after="0"/>
              <w:rPr>
                <w:sz w:val="1"/>
                <w:szCs w:val="1"/>
                <w:color w:val="auto"/>
              </w:rPr>
            </w:pPr>
          </w:p>
        </w:tc>
      </w:tr>
      <w:tr>
        <w:trPr>
          <w:trHeight w:val="27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102,054</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Refer to Note 4 for further details on current year acquisition activity.</w:t>
            </w: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4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The Company’s amortizable intangible assets and estimated useful lives were as follows: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52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0"/>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useful life (years)</w:t>
            </w:r>
          </w:p>
        </w:tc>
        <w:tc>
          <w:tcPr>
            <w:tcW w:w="0" w:type="dxa"/>
            <w:vAlign w:val="bottom"/>
          </w:tcPr>
          <w:p>
            <w:pPr>
              <w:spacing w:after="0"/>
              <w:rPr>
                <w:sz w:val="1"/>
                <w:szCs w:val="1"/>
                <w:color w:val="auto"/>
              </w:rPr>
            </w:pPr>
          </w:p>
        </w:tc>
      </w:tr>
      <w:tr>
        <w:trPr>
          <w:trHeight w:val="23"/>
        </w:trPr>
        <w:tc>
          <w:tcPr>
            <w:tcW w:w="6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43,129</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center"/>
              <w:ind w:left="977"/>
              <w:spacing w:after="0"/>
              <w:rPr>
                <w:sz w:val="20"/>
                <w:szCs w:val="20"/>
                <w:color w:val="auto"/>
              </w:rPr>
            </w:pPr>
            <w:r>
              <w:rPr>
                <w:rFonts w:ascii="Times New Roman" w:cs="Times New Roman" w:eastAsia="Times New Roman" w:hAnsi="Times New Roman"/>
                <w:sz w:val="18"/>
                <w:szCs w:val="18"/>
                <w:color w:val="auto"/>
                <w:w w:val="97"/>
              </w:rPr>
              <w:t>6.0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center"/>
              <w:ind w:left="977"/>
              <w:spacing w:after="0"/>
              <w:rPr>
                <w:sz w:val="20"/>
                <w:szCs w:val="20"/>
                <w:color w:val="auto"/>
              </w:rPr>
            </w:pPr>
            <w:r>
              <w:rPr>
                <w:rFonts w:ascii="Times New Roman" w:cs="Times New Roman" w:eastAsia="Times New Roman" w:hAnsi="Times New Roman"/>
                <w:sz w:val="18"/>
                <w:szCs w:val="18"/>
                <w:color w:val="auto"/>
                <w:w w:val="97"/>
              </w:rPr>
              <w:t>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center"/>
              <w:ind w:left="977"/>
              <w:spacing w:after="0"/>
              <w:rPr>
                <w:sz w:val="20"/>
                <w:szCs w:val="20"/>
                <w:color w:val="auto"/>
              </w:rPr>
            </w:pPr>
            <w:r>
              <w:rPr>
                <w:rFonts w:ascii="Times New Roman" w:cs="Times New Roman" w:eastAsia="Times New Roman" w:hAnsi="Times New Roman"/>
                <w:sz w:val="18"/>
                <w:szCs w:val="18"/>
                <w:color w:val="auto"/>
                <w:w w:val="97"/>
              </w:rPr>
              <w:t>3.1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center"/>
              <w:ind w:left="977"/>
              <w:spacing w:after="0"/>
              <w:rPr>
                <w:sz w:val="20"/>
                <w:szCs w:val="20"/>
                <w:color w:val="auto"/>
              </w:rPr>
            </w:pPr>
            <w:r>
              <w:rPr>
                <w:rFonts w:ascii="Times New Roman" w:cs="Times New Roman" w:eastAsia="Times New Roman" w:hAnsi="Times New Roman"/>
                <w:sz w:val="18"/>
                <w:szCs w:val="18"/>
                <w:color w:val="auto"/>
                <w:w w:val="97"/>
              </w:rPr>
              <w:t>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68,569</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(28,635)</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39,934</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for acquired intangible assets was $2,000 and $2,770 for the three months ended December 31, 2021 and 2022, respectively, and $3,352 and $5,541 for the six months ended December 31, 2021 and 2022, respectively, and is included in Cost of revenues and General and administrative.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Future amortization expense for acquired intangible assets as of December 31, 2022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Remainder of fiscal 2023</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Fiscal 2025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Fiscal 2027</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accrued expenses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100" w:hanging="987"/>
        <w:spacing w:after="0"/>
        <w:tabs>
          <w:tab w:leader="none" w:pos="21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5,407</w:t>
      </w:r>
    </w:p>
    <w:p>
      <w:pPr>
        <w:spacing w:after="0" w:line="61" w:lineRule="exact"/>
        <w:rPr>
          <w:rFonts w:ascii="Times New Roman" w:cs="Times New Roman" w:eastAsia="Times New Roman" w:hAnsi="Times New Roman"/>
          <w:sz w:val="17"/>
          <w:szCs w:val="17"/>
          <w:color w:val="auto"/>
        </w:rPr>
      </w:pPr>
    </w:p>
    <w:p>
      <w:pPr>
        <w:ind w:left="2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9,943</w:t>
      </w:r>
    </w:p>
    <w:p>
      <w:pPr>
        <w:spacing w:after="0" w:line="61" w:lineRule="exact"/>
        <w:rPr>
          <w:rFonts w:ascii="Times New Roman" w:cs="Times New Roman" w:eastAsia="Times New Roman" w:hAnsi="Times New Roman"/>
          <w:sz w:val="17"/>
          <w:szCs w:val="17"/>
          <w:color w:val="auto"/>
        </w:rPr>
      </w:pPr>
    </w:p>
    <w:p>
      <w:pPr>
        <w:ind w:left="2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8,888</w:t>
      </w:r>
    </w:p>
    <w:p>
      <w:pPr>
        <w:spacing w:after="0" w:line="61" w:lineRule="exact"/>
        <w:rPr>
          <w:rFonts w:ascii="Times New Roman" w:cs="Times New Roman" w:eastAsia="Times New Roman" w:hAnsi="Times New Roman"/>
          <w:sz w:val="17"/>
          <w:szCs w:val="17"/>
          <w:color w:val="auto"/>
        </w:rPr>
      </w:pPr>
    </w:p>
    <w:p>
      <w:pPr>
        <w:ind w:left="2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7,269</w:t>
      </w:r>
    </w:p>
    <w:p>
      <w:pPr>
        <w:spacing w:after="0" w:line="61" w:lineRule="exact"/>
        <w:rPr>
          <w:rFonts w:ascii="Times New Roman" w:cs="Times New Roman" w:eastAsia="Times New Roman" w:hAnsi="Times New Roman"/>
          <w:sz w:val="17"/>
          <w:szCs w:val="17"/>
          <w:color w:val="auto"/>
        </w:rPr>
      </w:pPr>
    </w:p>
    <w:p>
      <w:pPr>
        <w:ind w:left="2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4,893</w:t>
      </w:r>
    </w:p>
    <w:p>
      <w:pPr>
        <w:spacing w:after="0" w:line="61" w:lineRule="exact"/>
        <w:rPr>
          <w:rFonts w:ascii="Times New Roman" w:cs="Times New Roman" w:eastAsia="Times New Roman" w:hAnsi="Times New Roman"/>
          <w:sz w:val="17"/>
          <w:szCs w:val="17"/>
          <w:color w:val="auto"/>
        </w:rPr>
      </w:pPr>
    </w:p>
    <w:p>
      <w:pPr>
        <w:ind w:left="2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3,534</w:t>
      </w:r>
    </w:p>
    <w:p>
      <w:pPr>
        <w:spacing w:after="0" w:line="75" w:lineRule="exact"/>
        <w:rPr>
          <w:sz w:val="20"/>
          <w:szCs w:val="20"/>
          <w:color w:val="auto"/>
        </w:rPr>
      </w:pPr>
    </w:p>
    <w:p>
      <w:pPr>
        <w:ind w:left="2020" w:hanging="907"/>
        <w:spacing w:after="0"/>
        <w:tabs>
          <w:tab w:leader="none" w:pos="20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39,934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59055</wp:posOffset>
            </wp:positionV>
            <wp:extent cx="9429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19"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15" w:lineRule="exact"/>
        <w:rPr>
          <w:sz w:val="20"/>
          <w:szCs w:val="20"/>
          <w:color w:val="auto"/>
        </w:rPr>
      </w:pPr>
    </w:p>
    <w:p>
      <w:pPr>
        <w:sectPr>
          <w:pgSz w:w="11900" w:h="16838" w:orient="portrait"/>
          <w:cols w:equalWidth="0" w:num="2">
            <w:col w:w="7940" w:space="720"/>
            <w:col w:w="2580"/>
          </w:cols>
          <w:pgMar w:left="320" w:top="256" w:right="339" w:bottom="1440" w:gutter="0" w:footer="0" w:header="0"/>
        </w:sectPr>
      </w:pPr>
    </w:p>
    <w:tbl>
      <w:tblPr>
        <w:tblLayout w:type="fixed"/>
        <w:tblInd w:w="0" w:type="dxa"/>
        <w:tblCellMar>
          <w:top w:w="0" w:type="dxa"/>
          <w:left w:w="0" w:type="dxa"/>
          <w:bottom w:w="0" w:type="dxa"/>
          <w:right w:w="0" w:type="dxa"/>
        </w:tblCellMar>
      </w:tblPr>
      <w:tr>
        <w:trPr>
          <w:trHeight w:val="270"/>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personnel costs</w:t>
            </w:r>
          </w:p>
        </w:tc>
        <w:tc>
          <w:tcPr>
            <w:tcW w:w="20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0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84,897</w:t>
            </w: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62,092</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8,507</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23,538</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21,658</w:t>
            </w:r>
          </w:p>
        </w:tc>
        <w:tc>
          <w:tcPr>
            <w:tcW w:w="0" w:type="dxa"/>
            <w:vAlign w:val="bottom"/>
          </w:tcPr>
          <w:p>
            <w:pPr>
              <w:spacing w:after="0"/>
              <w:rPr>
                <w:sz w:val="1"/>
                <w:szCs w:val="1"/>
                <w:color w:val="auto"/>
              </w:rPr>
            </w:pPr>
          </w:p>
        </w:tc>
      </w:tr>
      <w:tr>
        <w:trPr>
          <w:trHeight w:val="282"/>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Corporate Investments and Funds Held for Clients</w:t>
            </w: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0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6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Corporate investments and funds held for clients consisted of the following:</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gridSpan w:val="3"/>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2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139,756</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139,756</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3,653,699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3,653,697</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58,040</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59,568</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31,879</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31,836</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167,566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166,987</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337,203</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334,079</w:t>
            </w: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4,130,658</w:t>
            </w:r>
          </w:p>
        </w:tc>
        <w:tc>
          <w:tcPr>
            <w:tcW w:w="100" w:type="dxa"/>
            <w:vAlign w:val="bottom"/>
          </w:tcPr>
          <w:p>
            <w:pPr>
              <w:spacing w:after="0"/>
              <w:rPr>
                <w:sz w:val="22"/>
                <w:szCs w:val="22"/>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2"/>
                <w:szCs w:val="22"/>
                <w:color w:val="auto"/>
              </w:rPr>
            </w:pPr>
          </w:p>
        </w:tc>
        <w:tc>
          <w:tcPr>
            <w:tcW w:w="6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4,127,532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2"/>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8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120,053</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2,626,112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2,626,114</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97,440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97,423</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76,777</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27,668</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40,462</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187,671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185,250</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445,031</w:t>
            </w:r>
          </w:p>
        </w:tc>
        <w:tc>
          <w:tcPr>
            <w:tcW w:w="1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439,583</w:t>
            </w: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3,191,196</w:t>
            </w:r>
          </w:p>
        </w:tc>
        <w:tc>
          <w:tcPr>
            <w:tcW w:w="100" w:type="dxa"/>
            <w:vAlign w:val="bottom"/>
          </w:tcPr>
          <w:p>
            <w:pPr>
              <w:spacing w:after="0"/>
              <w:rPr>
                <w:sz w:val="22"/>
                <w:szCs w:val="22"/>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22"/>
                <w:szCs w:val="22"/>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3,185,750</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available-for-sale securities were included in Funds held for clients at June 30, 2022 and December 31, 2022</w:t>
      </w:r>
    </w:p>
    <w:p>
      <w:pPr>
        <w:spacing w:after="0" w:line="185"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and funds held for clients’ cash and cash equivalents included demand deposit accounts, money market funds, commercial paper and certificates of deposit at June 30, 2022 and December 31, 2022.</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Classification of investments on the Unaudited Consolidated Balance Sheets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120,053</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Funds held for clients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3,987,776</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3,065,697</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4,127,532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3,185,750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Available-for-sale securities that had been in an unrealized loss position for a period of less and greater than 12 months as of June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had fair market value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5"/>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3"/>
                <w:szCs w:val="13"/>
                <w:color w:val="auto"/>
              </w:rPr>
            </w:pPr>
          </w:p>
        </w:tc>
        <w:tc>
          <w:tcPr>
            <w:tcW w:w="2440" w:type="dxa"/>
            <w:vAlign w:val="bottom"/>
            <w:gridSpan w:val="3"/>
          </w:tcPr>
          <w:p>
            <w:pPr>
              <w:ind w:left="30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4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53,756</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1"/>
                <w:szCs w:val="21"/>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57,853</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22"/>
                <w:szCs w:val="22"/>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1"/>
                <w:szCs w:val="21"/>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27,086</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22"/>
                <w:szCs w:val="22"/>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129,943</w:t>
            </w:r>
          </w:p>
        </w:tc>
        <w:tc>
          <w:tcPr>
            <w:tcW w:w="0" w:type="dxa"/>
            <w:vAlign w:val="bottom"/>
          </w:tcPr>
          <w:p>
            <w:pPr>
              <w:spacing w:after="0"/>
              <w:rPr>
                <w:sz w:val="1"/>
                <w:szCs w:val="1"/>
                <w:color w:val="auto"/>
              </w:rPr>
            </w:pPr>
          </w:p>
        </w:tc>
      </w:tr>
      <w:tr>
        <w:trPr>
          <w:trHeight w:val="211"/>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0"/>
                <w:szCs w:val="20"/>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191"/>
        </w:trPr>
        <w:tc>
          <w:tcPr>
            <w:tcW w:w="20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80" w:type="dxa"/>
            <w:vAlign w:val="bottom"/>
          </w:tcPr>
          <w:p>
            <w:pPr>
              <w:spacing w:after="0"/>
              <w:rPr>
                <w:sz w:val="16"/>
                <w:szCs w:val="16"/>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285,651</w:t>
            </w:r>
          </w:p>
        </w:tc>
        <w:tc>
          <w:tcPr>
            <w:tcW w:w="100" w:type="dxa"/>
            <w:vAlign w:val="bottom"/>
          </w:tcPr>
          <w:p>
            <w:pPr>
              <w:spacing w:after="0"/>
              <w:rPr>
                <w:sz w:val="16"/>
                <w:szCs w:val="16"/>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80" w:type="dxa"/>
            <w:vAlign w:val="bottom"/>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285,651</w:t>
            </w:r>
          </w:p>
        </w:tc>
        <w:tc>
          <w:tcPr>
            <w:tcW w:w="0" w:type="dxa"/>
            <w:vAlign w:val="bottom"/>
          </w:tcPr>
          <w:p>
            <w:pPr>
              <w:spacing w:after="0"/>
              <w:rPr>
                <w:sz w:val="1"/>
                <w:szCs w:val="1"/>
                <w:color w:val="auto"/>
              </w:rPr>
            </w:pPr>
          </w:p>
        </w:tc>
      </w:tr>
      <w:tr>
        <w:trPr>
          <w:trHeight w:val="221"/>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5"/>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3"/>
                <w:szCs w:val="13"/>
                <w:color w:val="auto"/>
              </w:rPr>
            </w:pPr>
          </w:p>
        </w:tc>
        <w:tc>
          <w:tcPr>
            <w:tcW w:w="2840" w:type="dxa"/>
            <w:vAlign w:val="bottom"/>
            <w:gridSpan w:val="5"/>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52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29,451</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64,702</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18,784</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146,060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149,980</w:t>
            </w:r>
          </w:p>
        </w:tc>
        <w:tc>
          <w:tcPr>
            <w:tcW w:w="0" w:type="dxa"/>
            <w:vAlign w:val="bottom"/>
          </w:tcPr>
          <w:p>
            <w:pPr>
              <w:spacing w:after="0"/>
              <w:rPr>
                <w:sz w:val="1"/>
                <w:szCs w:val="1"/>
                <w:color w:val="auto"/>
              </w:rPr>
            </w:pPr>
          </w:p>
        </w:tc>
      </w:tr>
      <w:tr>
        <w:trPr>
          <w:trHeight w:val="211"/>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0" w:type="dxa"/>
            <w:vAlign w:val="bottom"/>
          </w:tcPr>
          <w:p>
            <w:pPr>
              <w:spacing w:after="0"/>
              <w:rPr>
                <w:sz w:val="1"/>
                <w:szCs w:val="1"/>
                <w:color w:val="auto"/>
              </w:rPr>
            </w:pPr>
          </w:p>
        </w:tc>
      </w:tr>
      <w:tr>
        <w:trPr>
          <w:trHeight w:val="191"/>
        </w:trPr>
        <w:tc>
          <w:tcPr>
            <w:tcW w:w="20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80" w:type="dxa"/>
            <w:vAlign w:val="bottom"/>
          </w:tcPr>
          <w:p>
            <w:pPr>
              <w:spacing w:after="0"/>
              <w:rPr>
                <w:sz w:val="16"/>
                <w:szCs w:val="16"/>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228,066</w:t>
            </w:r>
          </w:p>
        </w:tc>
        <w:tc>
          <w:tcPr>
            <w:tcW w:w="100" w:type="dxa"/>
            <w:vAlign w:val="bottom"/>
          </w:tcPr>
          <w:p>
            <w:pPr>
              <w:spacing w:after="0"/>
              <w:rPr>
                <w:sz w:val="16"/>
                <w:szCs w:val="16"/>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80" w:type="dxa"/>
            <w:vAlign w:val="bottom"/>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50,739</w:t>
            </w:r>
          </w:p>
        </w:tc>
        <w:tc>
          <w:tcPr>
            <w:tcW w:w="100" w:type="dxa"/>
            <w:vAlign w:val="bottom"/>
          </w:tcPr>
          <w:p>
            <w:pPr>
              <w:spacing w:after="0"/>
              <w:rPr>
                <w:sz w:val="16"/>
                <w:szCs w:val="1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80" w:type="dxa"/>
            <w:vAlign w:val="bottom"/>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278,805</w:t>
            </w:r>
          </w:p>
        </w:tc>
        <w:tc>
          <w:tcPr>
            <w:tcW w:w="0" w:type="dxa"/>
            <w:vAlign w:val="bottom"/>
          </w:tcPr>
          <w:p>
            <w:pPr>
              <w:spacing w:after="0"/>
              <w:rPr>
                <w:sz w:val="1"/>
                <w:szCs w:val="1"/>
                <w:color w:val="auto"/>
              </w:rPr>
            </w:pPr>
          </w:p>
        </w:tc>
      </w:tr>
      <w:tr>
        <w:trPr>
          <w:trHeight w:val="226"/>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regularly reviews the composition of its portfolio to determine the existence of credit impairment. The Company did not recognize any credit impairment losses during the three or six months ended December 31, 2021 or 2022. All securities in the Company’s portfolio held an A-1 rating or better as of December 31, 2022.</w:t>
      </w:r>
    </w:p>
    <w:p>
      <w:pPr>
        <w:spacing w:after="0" w:line="13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make any material reclassification adjustments out of accumulated other comprehensive income for realized gains and losses on the sale of available-for-sale securities during the three or six months ended December 31, 2021 or 2022. There were no realized gains or losses on the sale of available-for-sale securities for the three or six months ended December 31, 2021 or 2022.</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Expected maturities of available-for-sale securities at December 31, 2022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 or less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259,823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258,853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year to two years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87,491</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Two years to three years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93,175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91,459</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Three years to five years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445,031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439,583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w:t>
      </w:r>
    </w:p>
    <w:p>
      <w:pPr>
        <w:spacing w:after="0" w:line="189"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31"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84"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21"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4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Company measures certain cash and cash equivalents, accounts receivable, accounts payable and client fund obligations at fair value on a recurring basis using Level 1 inputs. The Company considers the recorded value of these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to approximate the fair value of the respective assets and liabilities at June 30, 2022 and December 31, 2022 based upon the short-term nature of these assets and liabilities.</w:t>
      </w:r>
    </w:p>
    <w:p>
      <w:pPr>
        <w:spacing w:after="0" w:line="12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commercial paper, corporate bonds, asset-backed securities, certificates of deposit, U.S. treasury securities, U.S. government agency and other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2022 or December 31, 2022.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level for the Company’s cash and cash equivalents and available-for-sale securities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139,756</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3,653,697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3,640,427</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31,836</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31,836</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334,079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334,079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4,127,532</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3,780,183</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347,349</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83"/>
        </w:trPr>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120,053</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2,626,114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2,607,468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97,423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97,423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40,462</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40,462</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185,250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185,250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439,583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439,583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3,185,750</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2,727,521</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458,229</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Recorded at Fair Value on a Non-Recurring Basis</w:t>
      </w:r>
    </w:p>
    <w:p>
      <w:pPr>
        <w:spacing w:after="0" w:line="1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records assets acquired and liabilities assumed in business combinations at fair value. Refer to Note 4 for further details on the fair value measurements of certain assets and liabilities recorded at fair value on a non-recurring basis.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July 2019, the Company entered into a revolving credit agreement with PNC Bank, National Association, and other lenders, which is secured by substantially all of the Company’s assets, subject to certain restrictions. In August 2022, the Company entered into a first amendment to the aforementioned credit agreement to increase the borrowing capacity of our revolving credit facility ("credit facility") to $550,000, which may be increased up to $825,000, subject to obtaining additional lender commitments and certain approvals and satisfying other requirements. The amended credit agreement extends the maturity date of the credit facility to August 2027 and replaces the interest rate based on London Interbank Offered Rate with an interest rate based on secured overnight financing rate ("SOFR"). The Company had no borrowings at June 30, 2022 or December 31, 2022.</w:t>
      </w:r>
    </w:p>
    <w:p>
      <w:pPr>
        <w:spacing w:after="0" w:line="16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proceeds of any borrowings are to be used to fund working capital, capital expenditures and general corporate purposes, including permitted acquisitions, permitted investments, permitted distributions and share repurchases. The Company may generally borrow, prepay and reborrow under the credit facility and terminate or reduce the lenders’ commitments at any time prior to revolving credit facility expiration without a premium or a penalty, other than customary “breakage” costs.</w:t>
      </w:r>
    </w:p>
    <w:p>
      <w:pPr>
        <w:spacing w:after="0" w:line="13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Any borrowings under the credit facility will generally bear interest, at the Company’s option, at a rate per annum determined by reference to either the Term SOFR rate plus the SOFR Adjustment or an adjusted base rate, in each case plus an applicable margin ranging from 0.875% to 1.500% and 0.0% to 0.500%, respectively, based on the then-applicable net total leverage ratio. Additionally, the Company is required to pay certain commitment, letter of credit fronting and letter of credit participation fees on available and/or undrawn portions of the credit facility.</w:t>
      </w:r>
    </w:p>
    <w:p>
      <w:pPr>
        <w:spacing w:after="0" w:line="13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is required to comply with certain customary affirmative and negative covenants, including a requirement to maintain a maximum net total leverage ratio of not greater than 4.00 to 1.00, (with a step up to 4.50 to 1.00 for the 4 consecutive fiscal quarters following a fiscal quarter in which certain permitted acquisitions are consummated), and a minimum interest coverage ratio of not less than 2.00 to 1.00. As of December 31, 2022, the Company was in compliance with all of the aforementioned covenants.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restricted stock units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may increase each calendar year, continuing through and including January 1, 2024. The number of shares added each year may be equal to the lesser of (a) four and five tenths percent (4.5%) of the number of shares of common stock of the Company issued and outstanding on the immediately preceding December 31, or (b) an amount determined by the Company’s board of directors.</w:t>
      </w:r>
    </w:p>
    <w:p>
      <w:pPr>
        <w:spacing w:after="0" w:line="151"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13,784 shares allocated to the plans, of which 1,841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in the number of shares available for grant under the Company’s equity incentive plans during the six months ended December 31,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14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95"/>
        </w:trPr>
        <w:tc>
          <w:tcPr>
            <w:tcW w:w="97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5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for grant at July 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MSUs 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 in settlement of taxes and/or exercise price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removed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82"/>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for grant at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11,943</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pacing w:after="0" w:line="135" w:lineRule="exact"/>
        <w:rPr>
          <w:sz w:val="20"/>
          <w:szCs w:val="20"/>
          <w:color w:val="auto"/>
        </w:rPr>
      </w:pPr>
    </w:p>
    <w:p>
      <w:pPr>
        <w:ind w:right="360" w:firstLine="648"/>
        <w:spacing w:after="0" w:line="312" w:lineRule="auto"/>
        <w:rPr>
          <w:sz w:val="20"/>
          <w:szCs w:val="20"/>
          <w:color w:val="auto"/>
        </w:rPr>
      </w:pPr>
      <w:r>
        <w:rPr>
          <w:rFonts w:ascii="Times New Roman" w:cs="Times New Roman" w:eastAsia="Times New Roman" w:hAnsi="Times New Roman"/>
          <w:sz w:val="17"/>
          <w:szCs w:val="17"/>
          <w:color w:val="auto"/>
        </w:rPr>
        <w:t>Stock-based compensation expense related to restricted stock units (“RSUs”), market share units (“MSUs”) and the Employee Stock Purchase Plan is included in the following line items in the accompanying unaudited consolidated statements of operations and comprehensive income: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0" w:type="dxa"/>
            <w:vAlign w:val="bottom"/>
          </w:tcPr>
          <w:p>
            <w:pPr>
              <w:spacing w:after="0"/>
              <w:rPr>
                <w:sz w:val="16"/>
                <w:szCs w:val="16"/>
                <w:color w:val="auto"/>
              </w:rPr>
            </w:pPr>
          </w:p>
        </w:tc>
        <w:tc>
          <w:tcPr>
            <w:tcW w:w="274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20,354</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20,094</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11,804</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33,643</w:t>
            </w:r>
          </w:p>
        </w:tc>
      </w:tr>
      <w:tr>
        <w:trPr>
          <w:trHeight w:val="28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26,243</w:t>
            </w:r>
          </w:p>
        </w:tc>
        <w:tc>
          <w:tcPr>
            <w:tcW w:w="8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addition, the Company capitalized $1,879 and $3,154 of stock-based compensation expense in its capitalized internal-use software costs in the three months ended December 31, 2021 and 2022, respectively, and $3,426 and $6,096 during the six months ended December 31, 2021 and 2022, respectively.</w:t>
      </w:r>
    </w:p>
    <w:p>
      <w:pPr>
        <w:spacing w:after="0" w:line="13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during the six months ended December 31, 2022. The table below presents stock option activity during the six months ended December 31,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58"/>
        </w:trPr>
        <w:tc>
          <w:tcPr>
            <w:tcW w:w="5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2"/>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4"/>
                <w:szCs w:val="14"/>
                <w:color w:val="auto"/>
              </w:rPr>
            </w:pPr>
          </w:p>
        </w:tc>
        <w:tc>
          <w:tcPr>
            <w:tcW w:w="13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190"/>
        </w:trPr>
        <w:tc>
          <w:tcPr>
            <w:tcW w:w="5040" w:type="dxa"/>
            <w:vAlign w:val="bottom"/>
          </w:tcPr>
          <w:p>
            <w:pPr>
              <w:spacing w:after="0"/>
              <w:rPr>
                <w:sz w:val="16"/>
                <w:szCs w:val="16"/>
                <w:color w:val="auto"/>
              </w:rPr>
            </w:pPr>
          </w:p>
        </w:tc>
        <w:tc>
          <w:tcPr>
            <w:tcW w:w="14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20" w:type="dxa"/>
            <w:vAlign w:val="bottom"/>
          </w:tcPr>
          <w:p>
            <w:pPr>
              <w:spacing w:after="0"/>
              <w:rPr>
                <w:sz w:val="16"/>
                <w:szCs w:val="16"/>
                <w:color w:val="auto"/>
              </w:rPr>
            </w:pPr>
          </w:p>
        </w:tc>
        <w:tc>
          <w:tcPr>
            <w:tcW w:w="13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 balance at July 1, 2022</w:t>
            </w:r>
          </w:p>
        </w:tc>
        <w:tc>
          <w:tcPr>
            <w:tcW w:w="1480" w:type="dxa"/>
            <w:vAlign w:val="bottom"/>
            <w:shd w:val="clear" w:color="auto" w:fill="CCEEFF"/>
          </w:tcPr>
          <w:p>
            <w:pPr>
              <w:jc w:val="center"/>
              <w:ind w:left="974"/>
              <w:spacing w:after="0"/>
              <w:rPr>
                <w:sz w:val="20"/>
                <w:szCs w:val="20"/>
                <w:color w:val="auto"/>
              </w:rPr>
            </w:pPr>
            <w:r>
              <w:rPr>
                <w:rFonts w:ascii="Times New Roman" w:cs="Times New Roman" w:eastAsia="Times New Roman" w:hAnsi="Times New Roman"/>
                <w:sz w:val="18"/>
                <w:szCs w:val="18"/>
                <w:color w:val="auto"/>
                <w:w w:val="96"/>
              </w:rPr>
              <w:t>548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85,515</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tcBorders>
              <w:bottom w:val="single" w:sz="8" w:color="auto"/>
            </w:tcBorders>
          </w:tcPr>
          <w:p>
            <w:pPr>
              <w:jc w:val="center"/>
              <w:ind w:left="934"/>
              <w:spacing w:after="0"/>
              <w:rPr>
                <w:sz w:val="20"/>
                <w:szCs w:val="20"/>
                <w:color w:val="auto"/>
              </w:rPr>
            </w:pPr>
            <w:r>
              <w:rPr>
                <w:rFonts w:ascii="Times New Roman" w:cs="Times New Roman" w:eastAsia="Times New Roman" w:hAnsi="Times New Roman"/>
                <w:sz w:val="18"/>
                <w:szCs w:val="18"/>
                <w:color w:val="auto"/>
                <w:w w:val="97"/>
              </w:rPr>
              <w:t>(242)</w:t>
            </w:r>
          </w:p>
        </w:tc>
        <w:tc>
          <w:tcPr>
            <w:tcW w:w="2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r>
      <w:tr>
        <w:trPr>
          <w:trHeight w:val="28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 balance at December 31, 2022</w:t>
            </w:r>
          </w:p>
        </w:tc>
        <w:tc>
          <w:tcPr>
            <w:tcW w:w="1480" w:type="dxa"/>
            <w:vAlign w:val="bottom"/>
            <w:tcBorders>
              <w:bottom w:val="single" w:sz="8" w:color="auto"/>
            </w:tcBorders>
            <w:shd w:val="clear" w:color="auto" w:fill="CCEEFF"/>
          </w:tcPr>
          <w:p>
            <w:pPr>
              <w:jc w:val="center"/>
              <w:ind w:left="974"/>
              <w:spacing w:after="0"/>
              <w:rPr>
                <w:sz w:val="20"/>
                <w:szCs w:val="20"/>
                <w:color w:val="auto"/>
              </w:rPr>
            </w:pPr>
            <w:r>
              <w:rPr>
                <w:rFonts w:ascii="Times New Roman" w:cs="Times New Roman" w:eastAsia="Times New Roman" w:hAnsi="Times New Roman"/>
                <w:sz w:val="18"/>
                <w:szCs w:val="18"/>
                <w:color w:val="auto"/>
                <w:w w:val="96"/>
              </w:rPr>
              <w:t>306</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at December 31, 2022</w:t>
            </w:r>
          </w:p>
        </w:tc>
        <w:tc>
          <w:tcPr>
            <w:tcW w:w="1480" w:type="dxa"/>
            <w:vAlign w:val="bottom"/>
            <w:tcBorders>
              <w:bottom w:val="single" w:sz="8" w:color="auto"/>
            </w:tcBorders>
          </w:tcPr>
          <w:p>
            <w:pPr>
              <w:jc w:val="center"/>
              <w:ind w:left="974"/>
              <w:spacing w:after="0"/>
              <w:rPr>
                <w:sz w:val="20"/>
                <w:szCs w:val="20"/>
                <w:color w:val="auto"/>
              </w:rPr>
            </w:pPr>
            <w:r>
              <w:rPr>
                <w:rFonts w:ascii="Times New Roman" w:cs="Times New Roman" w:eastAsia="Times New Roman" w:hAnsi="Times New Roman"/>
                <w:sz w:val="18"/>
                <w:szCs w:val="18"/>
                <w:color w:val="auto"/>
                <w:w w:val="96"/>
              </w:rPr>
              <w:t>306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52,348</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was $11,759 and $1,484 during the three months ended December 31, 2021 and 2022, respectively, and $47,627 and $49,627 during the six months ended December 31, 2021 and 2022, respectively.</w:t>
      </w:r>
    </w:p>
    <w:p>
      <w:pPr>
        <w:spacing w:after="0" w:line="12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 grants RSUs under the 2014 Plan with terms determined at the discretion of the compensation committee of the Company’s board of directors. RSUs generally vest over four years following the grant date and have time-based vesting conditions.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restricted stock unit activity during the six months ended December 31,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July 1, 2022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168.44</w:t>
            </w:r>
          </w:p>
        </w:tc>
      </w:tr>
      <w:tr>
        <w:trPr>
          <w:trHeight w:val="25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261.90</w:t>
            </w:r>
          </w:p>
        </w:tc>
      </w:tr>
      <w:tr>
        <w:trPr>
          <w:trHeight w:val="263"/>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138.11</w:t>
            </w:r>
          </w:p>
        </w:tc>
      </w:tr>
      <w:tr>
        <w:trPr>
          <w:trHeight w:val="277"/>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December 31, 2022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2022, there was $173,117 of total unrecognized compensation cost, net of estimated forfeitures, related to unvested restricted stock units granted. That cost is expected to be recognized over a weighted average period of 1.9 years.</w:t>
      </w:r>
    </w:p>
    <w:p>
      <w:pPr>
        <w:spacing w:after="0" w:line="13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also grants MSUs under the 2014 Plan with terms determined at the discretion of the compensation committee of the Company's board of directors. The actual number of MSUs that will be eligible to vest is based on the achievement of a relative total shareholder return (“TSR”) target as compared to the TSR realized by each of the companies comprising the Russell 3000 Index over an approximately three-year period. The MSUs cliff-vest at the end of the TSR measurement period, and up to 200% of the target number of shares subject to each MSU are eligible to be earned.</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market share unit activity during the six months ended December 31,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10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 balance at July 1, 2022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263.83</w:t>
            </w:r>
          </w:p>
        </w:tc>
      </w:tr>
      <w:tr>
        <w:trPr>
          <w:trHeight w:val="25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MSUs 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388.25</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MSUs forfeited</w:t>
            </w:r>
          </w:p>
        </w:tc>
        <w:tc>
          <w:tcPr>
            <w:tcW w:w="104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355.60</w:t>
            </w:r>
          </w:p>
        </w:tc>
      </w:tr>
      <w:tr>
        <w:trPr>
          <w:trHeight w:val="256"/>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MSU balance at December 31, 2022</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318.97</w:t>
            </w:r>
          </w:p>
        </w:tc>
      </w:tr>
      <w:tr>
        <w:trPr>
          <w:trHeight w:val="20"/>
        </w:trPr>
        <w:tc>
          <w:tcPr>
            <w:tcW w:w="8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estimated the grant date fair value of the MSUs using a Monte Carlo simulation model that included the following assumptions:</w:t>
      </w:r>
    </w:p>
    <w:p>
      <w:pPr>
        <w:spacing w:after="0" w:line="246"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22225</wp:posOffset>
            </wp:positionV>
            <wp:extent cx="19462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4627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3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5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47.4 - 47.5%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51.0 - 52.7%</w:t>
            </w:r>
          </w:p>
        </w:tc>
        <w:tc>
          <w:tcPr>
            <w:tcW w:w="100" w:type="dxa"/>
            <w:vAlign w:val="bottom"/>
            <w:shd w:val="clear" w:color="auto" w:fill="CCEEFF"/>
          </w:tcPr>
          <w:p>
            <w:pPr>
              <w:spacing w:after="0"/>
              <w:rPr>
                <w:sz w:val="22"/>
                <w:szCs w:val="22"/>
                <w:color w:val="auto"/>
              </w:rPr>
            </w:pPr>
          </w:p>
        </w:tc>
      </w:tr>
      <w:tr>
        <w:trPr>
          <w:trHeight w:val="25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2.92 - 3.04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2.75 - 3.04</w:t>
            </w:r>
          </w:p>
        </w:tc>
        <w:tc>
          <w:tcPr>
            <w:tcW w:w="100" w:type="dxa"/>
            <w:vAlign w:val="bottom"/>
          </w:tcPr>
          <w:p>
            <w:pPr>
              <w:spacing w:after="0"/>
              <w:rPr>
                <w:sz w:val="21"/>
                <w:szCs w:val="21"/>
                <w:color w:val="auto"/>
              </w:rPr>
            </w:pPr>
          </w:p>
        </w:tc>
      </w:tr>
      <w:tr>
        <w:trPr>
          <w:trHeight w:val="263"/>
        </w:trPr>
        <w:tc>
          <w:tcPr>
            <w:tcW w:w="808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0.43 - 0.47%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3.11 - 4.01%</w:t>
            </w:r>
          </w:p>
        </w:tc>
        <w:tc>
          <w:tcPr>
            <w:tcW w:w="100" w:type="dxa"/>
            <w:vAlign w:val="bottom"/>
            <w:shd w:val="clear" w:color="auto" w:fill="CCEEFF"/>
          </w:tcPr>
          <w:p>
            <w:pPr>
              <w:spacing w:after="0"/>
              <w:rPr>
                <w:sz w:val="22"/>
                <w:szCs w:val="22"/>
                <w:color w:val="auto"/>
              </w:rPr>
            </w:pPr>
          </w:p>
        </w:tc>
      </w:tr>
    </w:tbl>
    <w:p>
      <w:pPr>
        <w:spacing w:after="0" w:line="25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2022, there was $32,898 of total unrecognized compensation cost, net of estimated forfeitures, related to unvested MSUs. That cost is expected to be recognized over a period of 2.4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Litigation</w:t>
      </w:r>
    </w:p>
    <w:p>
      <w:pPr>
        <w:spacing w:after="0" w:line="18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On November 16, 2020, a potential class action complaint was filed against the Company with the Circuit Court of Cook County alleging that the Company violated the Illinois Biometric Information Privacy Act. The complaint seeks statutory damages, attorney’s fees and other costs. The Company is unable to estimate any reasonably possible loss, or range of loss, with respect to this matter at this time. The Company intends to vigorously defend against this lawsuit.</w:t>
      </w:r>
    </w:p>
    <w:p>
      <w:pPr>
        <w:spacing w:after="0" w:line="15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subject to litigation arising in the ordinary course of business. Many of these matters are covered in whole or in part by insurance. In the opinion of the Company’s management, the ultimate disposition of any matters currently outstanding or threatened will not have a material adverse effect on the Company’s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0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Company’s quarterly provision for income taxes is based on the annual effective rate method. The Company’s quarterly provision for income taxes also includes the tax impact of certain unusual or infrequently occurring items, if any, including changes in judgment about valuation allowances and effects of changes in tax laws or rates, and other discrete items in the interim period in which they occur.</w:t>
      </w:r>
    </w:p>
    <w:p>
      <w:pPr>
        <w:spacing w:after="0" w:line="13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On August 16, 2022, the Inflation Reduction Act (the "IRA") was signed into law and contains a number of tax related provisions. The Company is in the process of evaluating the IRA but does not expect it to have a material impact on the Company's consolidated financial statements.</w:t>
      </w:r>
    </w:p>
    <w:p>
      <w:pPr>
        <w:spacing w:after="0" w:line="108"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The Company’s effective tax rate was (26.9)% and 14.3% for the three months ended December 31, 2021 and 2022, respectively. The Company’s effective tax rate for the three months ended December 31, 2021 was lower than the federal statutory rate of 21% primarily due to excess tax benefits from employee stock-based compensation. The Company's effective tax rate for the three months ended December 31, 2022 was lower than the federal statutory rate of 21% primarily due to a decrease to the valuation allowance, partially offset by non-deductible stock-based compensation under Internal Revenue Code Section 162(m).</w:t>
      </w:r>
    </w:p>
    <w:p>
      <w:pPr>
        <w:spacing w:after="0" w:line="212"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The Company's effective tax rate was (127.8)% and (82.9)% for the six months ended December 31, 2021 and 2022, respectively. The Company's effective tax rate for the six months ended December 31, 2021 was lower than the federal statutory rate of 21% primarily due to excess tax benefits from employee stock-based compensation and state and local income taxes, partially offset by an increase to the valuation allowance. The Company's effective tax rate for the six months ended December 31, 2022 was lower than the federal statutory rate of 21% primarily due to excess tax benefits from employee stock-based compensation, state and local income taxes, and a decrease in the valuation allowance.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Share</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Basic net income per common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market share units as of the balance sheet date. The following table presents the calculation of basic and diluted net income per share: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246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w:t>
            </w:r>
          </w:p>
        </w:tc>
        <w:tc>
          <w:tcPr>
            <w:tcW w:w="80" w:type="dxa"/>
            <w:vAlign w:val="bottom"/>
          </w:tcPr>
          <w:p>
            <w:pPr>
              <w:spacing w:after="0"/>
              <w:rPr>
                <w:sz w:val="21"/>
                <w:szCs w:val="21"/>
                <w:color w:val="auto"/>
              </w:rPr>
            </w:pP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15,600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40,785</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45,952</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55,067</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55,721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55,587</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effect of potentially dilutive shares: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stock options, restricted stock units and market share</w:t>
            </w:r>
          </w:p>
        </w:tc>
        <w:tc>
          <w:tcPr>
            <w:tcW w:w="90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34"/>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units</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56,468</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56,474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56,486</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56,559</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21"/>
                <w:szCs w:val="21"/>
                <w:color w:val="auto"/>
              </w:rPr>
            </w:pP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918"/>
        </w:trPr>
        <w:tc>
          <w:tcPr>
            <w:tcW w:w="5040" w:type="dxa"/>
            <w:vAlign w:val="bottom"/>
          </w:tcPr>
          <w:p>
            <w:pPr>
              <w:spacing w:after="0"/>
              <w:rPr>
                <w:sz w:val="24"/>
                <w:szCs w:val="24"/>
                <w:color w:val="auto"/>
              </w:rPr>
            </w:pPr>
          </w:p>
        </w:tc>
        <w:tc>
          <w:tcPr>
            <w:tcW w:w="9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18</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0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restricted stock units and market share units as of December 31, 2021 and 2022 that were excluded from the diluted per share calculation for the periods presented because to include them would have been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600" w:type="dxa"/>
            <w:vAlign w:val="bottom"/>
            <w:gridSpan w:val="4"/>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3"/>
          </w:tcPr>
          <w:p>
            <w:pPr>
              <w:jc w:val="center"/>
              <w:ind w:left="83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r>
      <w:tr>
        <w:trPr>
          <w:trHeight w:val="190"/>
        </w:trPr>
        <w:tc>
          <w:tcPr>
            <w:tcW w:w="5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3"/>
          </w:tcPr>
          <w:p>
            <w:pPr>
              <w:jc w:val="center"/>
              <w:ind w:left="8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6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5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share units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77"/>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892"/>
        </w:trPr>
        <w:tc>
          <w:tcPr>
            <w:tcW w:w="60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19</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items discussed below and impacts from the novel coronavirus disease (COVID-19) as discussed in “Item 1A. Risk Factors” of our Annual Report on Form 10-K for the fiscal year ended June 30, 2022 filed with the SEC on August 5, 2022.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are a leading cloud-based provider of human capital management, or HCM, and payroll software solutions that deliver a comprehensive platform for the modern workforce. Our HCM and payroll platform offers an intuitive, easy-to-use product suite that helps businesses attract and retain talent, build culture and connection with their employees, and streamline and automate HR and payroll processes.</w:t>
      </w:r>
    </w:p>
    <w:p>
      <w:pPr>
        <w:spacing w:after="0" w:line="135"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Effective management of human capital is a core function in all organizations and requires a significant commitment of resources. Our cloud-based software solutions, combined with our unified database architecture, are highly flexible and configurable and feature a modern, intuitive user experience. Our platform offers automated data integration with hundreds of third-party partner systems, such as 401(k), benefits and insurance provider systems. We plan to continue to invest in research and development efforts that will allow us to offer a broader selection of products to new and existing clients focused on experiences that solve our clients’ challenges.</w:t>
      </w:r>
    </w:p>
    <w:p>
      <w:pPr>
        <w:spacing w:after="0" w:line="1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and we intend to invest in our business to achieve this purpose. We market and sell our solutions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of solutions that clients purchase from us. To do so, we must continue to enhance and grow the number of solutions we offer to advance our platform.</w:t>
      </w:r>
    </w:p>
    <w:p>
      <w:pPr>
        <w:spacing w:after="0" w:line="143"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We also believe that delivering a positive service experience is an essential element of our ability to sell our solutions and retain our clients. We supplement our comprehensive software solutions with an integrated implementation and client service organization, all of which are designed to meet the needs of our clients and prospects. We expect to continue to invest in and grow our implementation and client service organization as our client base grows.</w:t>
      </w:r>
    </w:p>
    <w:p>
      <w:pPr>
        <w:spacing w:after="0" w:line="11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will continue to invest across our entire organization as we continue to grow our business over the long term. These investments include increasing the number of personnel across all functional areas, along with improving our solutions and infrastructure to support our growth. The timing and amount of these investments vary based on the rate at which we add new clients and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Paylocity Holding Corporation is a Delaware corporation, which was formed in November 2013. Our business operations are conducted by our wholly owned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Growth</w:t>
      </w:r>
    </w:p>
    <w:p>
      <w:pPr>
        <w:spacing w:after="0" w:line="18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$196.0 million for the three months ended December 31, 2021 to $273.0 million for the three months ended December 31, 2022, representing a 39% year-over-year increase. Total revenues increased from $377.7 million for the six months ended December 31, 2021 to $526.3 million for the six months ended December 31, 2022,</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representing a 39% year-over-year increase. The increase in year-over-year revenue growth was driven by the strong performance by our sales team and also increases in client workforce levels and growth in interest income on funds held for clients attributable to rising interest rates and higher average daily balances for funds held for clients due to new clients and increases in client workforce levels as compared to the prior fiscal year. Our revenue growth in future periods may be impacted by fluctuations in client employee counts, potential increases in client losses, a changing interest rate environment, uncertainties around market and economic conditions including inflation risk, among other factors.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EBITDA</w:t>
      </w:r>
    </w:p>
    <w:p>
      <w:pPr>
        <w:spacing w:after="0" w:line="202"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We disclose Adjusted Gross Profit and Adjusted EBITDA because we use them to evaluate our performance, and we believe Adjusted Gross Profit and Adjusted EBITDA assist in the comparison of our performance across reporting periods by excluding certain items that we do not believe are indicative of our core operating performance. We believe these metrics are used in the financial community, and we present them to enhance investors’ understanding of our operating performance and cash flows.</w:t>
      </w:r>
    </w:p>
    <w:p>
      <w:pPr>
        <w:spacing w:after="0" w:line="13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Adjusted Gross Profit and Adjusted EBITDA are not measurements of financial performance under generally accepted accounting principles in the United States (“GAAP”), and you should not consider Adjusted Gross Profit as an alternative to gross profit or Adjusted EBITDA as an alternative to net income or cash provided by operating activities, in each case as determined in accordance with GAAP. In addition, our definition of Adjusted Gross Profit and Adjusted EBITDA may be different than the definition utilized for similarly-titled measures used by other companies.</w:t>
      </w:r>
    </w:p>
    <w:p>
      <w:pPr>
        <w:spacing w:after="0" w:line="13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define Adjusted Gross Profit as gross profit before amortization of capitalized internal-use software costs, amortization of certain acquired intangibles, stock-based compensation expense and employer payroll taxes related to stock releases and option exercises, and other items as defined below. We define Adjusted EBITDA as net income before interest expense, income tax expense (benefit), depreciation and amortization expense, stock-based compensation expense and employer payroll taxes related to stock releases and option exercises and other items as defined below.</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our Adjusted Gross Profit and Adjusted EBITDA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800" w:type="dxa"/>
            <w:vAlign w:val="bottom"/>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3"/>
        </w:trPr>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3"/>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8"/>
                <w:szCs w:val="18"/>
                <w:color w:val="auto"/>
              </w:rPr>
            </w:pPr>
          </w:p>
        </w:tc>
      </w:tr>
      <w:tr>
        <w:trPr>
          <w:trHeight w:val="23"/>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Gross Profit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134,666</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197,573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262,781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380,270</w:t>
            </w:r>
          </w:p>
        </w:tc>
      </w:tr>
      <w:tr>
        <w:trPr>
          <w:trHeight w:val="24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143,975</w:t>
            </w:r>
          </w:p>
        </w:tc>
      </w:tr>
      <w:tr>
        <w:trPr>
          <w:trHeight w:val="475"/>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24"/>
                <w:szCs w:val="24"/>
                <w:color w:val="auto"/>
              </w:rPr>
            </w:pPr>
          </w:p>
        </w:tc>
        <w:tc>
          <w:tcPr>
            <w:tcW w:w="1800" w:type="dxa"/>
            <w:vAlign w:val="bottom"/>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24"/>
                <w:szCs w:val="24"/>
                <w:color w:val="auto"/>
              </w:rPr>
            </w:pPr>
          </w:p>
        </w:tc>
      </w:tr>
      <w:tr>
        <w:trPr>
          <w:trHeight w:val="190"/>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7"/>
        </w:trPr>
        <w:tc>
          <w:tcPr>
            <w:tcW w:w="5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9"/>
                <w:szCs w:val="19"/>
                <w:color w:val="auto"/>
              </w:rPr>
            </w:pPr>
          </w:p>
        </w:tc>
      </w:tr>
      <w:tr>
        <w:trPr>
          <w:trHeight w:val="23"/>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Gross Profit to Adjusted Gross Profit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125,216</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182,932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243,664</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351,669</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capitalized internal-use software costs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14,520</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certain acquired intangibles</w:t>
            </w: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r>
      <w:tr>
        <w:trPr>
          <w:trHeight w:val="21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 (1)</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81"/>
        </w:trPr>
        <w:tc>
          <w:tcPr>
            <w:tcW w:w="50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Gross Profit</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134,666</w:t>
            </w:r>
          </w:p>
        </w:tc>
        <w:tc>
          <w:tcPr>
            <w:tcW w:w="80" w:type="dxa"/>
            <w:vAlign w:val="bottom"/>
            <w:tcBorders>
              <w:top w:val="single" w:sz="8" w:color="CCEEFF"/>
              <w:bottom w:val="single" w:sz="8" w:color="auto"/>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197,573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262,781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380,270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460" w:type="dxa"/>
            <w:vAlign w:val="bottom"/>
            <w:gridSpan w:val="4"/>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r>
      <w:tr>
        <w:trPr>
          <w:trHeight w:val="190"/>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gridSpan w:val="3"/>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r>
      <w:tr>
        <w:trPr>
          <w:trHeight w:val="23"/>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50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7"/>
        </w:trPr>
        <w:tc>
          <w:tcPr>
            <w:tcW w:w="5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gridSpan w:val="3"/>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9"/>
                <w:szCs w:val="19"/>
                <w:color w:val="auto"/>
              </w:rPr>
            </w:pPr>
          </w:p>
        </w:tc>
      </w:tr>
      <w:tr>
        <w:trPr>
          <w:trHeight w:val="23"/>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Net income to Adjusted EBITDA</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w:t>
            </w:r>
          </w:p>
        </w:tc>
        <w:tc>
          <w:tcPr>
            <w:tcW w:w="100" w:type="dxa"/>
            <w:vAlign w:val="bottom"/>
          </w:tcPr>
          <w:p>
            <w:pPr>
              <w:spacing w:after="0"/>
              <w:rPr>
                <w:sz w:val="22"/>
                <w:szCs w:val="22"/>
                <w:color w:val="auto"/>
              </w:rPr>
            </w:pP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15,600</w:t>
            </w:r>
          </w:p>
        </w:tc>
        <w:tc>
          <w:tcPr>
            <w:tcW w:w="8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40,785</w:t>
            </w:r>
          </w:p>
        </w:tc>
        <w:tc>
          <w:tcPr>
            <w:tcW w:w="100" w:type="dxa"/>
            <w:vAlign w:val="bottom"/>
          </w:tcPr>
          <w:p>
            <w:pPr>
              <w:spacing w:after="0"/>
              <w:rPr>
                <w:sz w:val="22"/>
                <w:szCs w:val="22"/>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45,952</w:t>
            </w:r>
          </w:p>
        </w:tc>
      </w:tr>
      <w:tr>
        <w:trPr>
          <w:trHeight w:val="25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(20,823)</w:t>
            </w: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12,061</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14,827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23,383</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29,094</w:t>
            </w:r>
          </w:p>
        </w:tc>
      </w:tr>
      <w:tr>
        <w:trPr>
          <w:trHeight w:val="250"/>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33,220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54,600</w:t>
            </w:r>
          </w:p>
        </w:tc>
      </w:tr>
      <w:tr>
        <w:trPr>
          <w:trHeight w:val="21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8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43,981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50,226</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88,959</w:t>
            </w:r>
          </w:p>
        </w:tc>
      </w:tr>
      <w:tr>
        <w:trPr>
          <w:trHeight w:val="25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(2)</w:t>
            </w:r>
          </w:p>
        </w:tc>
        <w:tc>
          <w:tcPr>
            <w:tcW w:w="8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82"/>
        </w:trPr>
        <w:tc>
          <w:tcPr>
            <w:tcW w:w="5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46,615</w:t>
            </w:r>
          </w:p>
        </w:tc>
        <w:tc>
          <w:tcPr>
            <w:tcW w:w="1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77,352</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92,739</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143,975</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nonrecurring acquisition-related costs.</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nonrecurring costs including acquisition-related costs and lease exit activity.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derive the majority of our revenues from recurring fees attributable to our cloud-based HCM and payroll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We charge implementation fees for professional services provided to implement our HCM and payroll solutions. Implementations of our payroll solutions typically require one to eight weeks, depending on the size and complexity of each client, at which point the new client’s payroll is first processed using our solution. We implement additional HCM products as requested by clients and leverage the data within our payroll solution to accelerate our implementation processes. Our average client size has continued to be over 100 employees.</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number of client employees on our platform and the mix of products purchased by a client as well as the timing of services provided with respect to those client employees can vary each period. As such, the number of client employees on our system is not a good indicator of our financial results in any given period. Recurring and other revenue accounted for 99% and 94% of our total revenues for the three months ended December 31, 2021 and 2022, respectively, and 99% and 95% for the six months ended December 31, 2021 and 2022, respectively.</w:t>
      </w:r>
    </w:p>
    <w:p>
      <w:pPr>
        <w:spacing w:after="0" w:line="139"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While the majority of our agreements with clients are generally cancellable by the client on 60 days’ notice or less, we also have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0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Cost of revenues includes costs to provide our HCM and payroll solutions which primarily consists of employee-related expenses, including wages, stock-based compensation, bonuses and benefits, relating to the provision of ongoing client support and implementation activities, payroll tax filing, distribution of printed checks and other materials as well as delivery costs, computing costs, amortization of certain acquired intangibles and bank fees associated with client fund transfers. Costs related to recurring support are generally expensed as incurred. Implementation costs related to our proprietary products are capitalized and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6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also capitalize a portion of our internal-use software costs, which are then primarily amortized as Cost of revenues. We amortized $6.1 million and $7.5 million of capitalized internal-use software costs during the three months ended December 31, 2021 and 2022, respectively, and $12.2 million and $14.5 million of capitalized internal-use software costs during the six months ended December 31, 2021 and 2022,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expenses for our direct sales and marketing staff, including wages, commissions, stock-based compensation, bonuses, benefits, marketing expenses and other related costs. Our sales personnel earn commissions and bonuses for attainment of certain performance criteria based on new sales throughout the fiscal year. We capitalize certain selling and commission costs related to new contracts or purchases of additional services by our existing clients and amortize them over a period of 7 years.</w:t>
      </w:r>
    </w:p>
    <w:p>
      <w:pPr>
        <w:spacing w:after="0" w:line="13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for our research and development and product management teams,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3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and six months ended December 31, 2021 and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460" w:type="dxa"/>
            <w:vAlign w:val="bottom"/>
            <w:gridSpan w:val="4"/>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50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9"/>
        </w:trPr>
        <w:tc>
          <w:tcPr>
            <w:tcW w:w="5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gridSpan w:val="3"/>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9"/>
                <w:szCs w:val="19"/>
                <w:color w:val="auto"/>
              </w:rPr>
            </w:pPr>
          </w:p>
        </w:tc>
      </w:tr>
      <w:tr>
        <w:trPr>
          <w:trHeight w:val="23"/>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portion of research and development</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10,475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11,868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20,304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23,618</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Expensed portion of research and development</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25,278</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41,029</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48,354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81,122</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35,753</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52,897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68,658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104,740</w:t>
            </w:r>
          </w:p>
        </w:tc>
      </w:tr>
    </w:tbl>
    <w:p>
      <w:pPr>
        <w:spacing w:after="0" w:line="25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costs, including wages, stock-based compensation, bonuses and benefits for our finance and accounting, legal, information systems, human resources and other administrative departments. Additional expenses include consulting and professional fees, occupancy costs, insurance and other corporate expenses. We expect our general and administrative expenses to continue to increase in absolute dollars as our company continues to grow.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generally consists of interest income related to interest earned on our cash and cash equivalents, net of losses on disposals of property and equipment and interest expense related to our revolving credit facility.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00" w:type="dxa"/>
            <w:vAlign w:val="bottom"/>
            <w:gridSpan w:val="3"/>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5"/>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95"/>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9"/>
        </w:trPr>
        <w:tc>
          <w:tcPr>
            <w:tcW w:w="5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3"/>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9"/>
                <w:szCs w:val="19"/>
                <w:color w:val="auto"/>
              </w:rPr>
            </w:pPr>
          </w:p>
        </w:tc>
      </w:tr>
      <w:tr>
        <w:trPr>
          <w:trHeight w:val="23"/>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195,041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375,865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501,840</w:t>
            </w:r>
          </w:p>
        </w:tc>
      </w:tr>
      <w:tr>
        <w:trPr>
          <w:trHeight w:val="230"/>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24,448</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196,037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377,734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526,288</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70,821</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134,070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174,619</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125,216</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243,664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351,669</w:t>
            </w: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102,104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146,757</w:t>
            </w: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81,122</w:t>
            </w: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39,581</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98,493</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117,078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225,274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326,372</w:t>
            </w:r>
          </w:p>
        </w:tc>
      </w:tr>
      <w:tr>
        <w:trPr>
          <w:trHeight w:val="223"/>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25,297</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3"/>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25,129</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(20,823)</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as a percentage of total revenues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4"/>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0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0"/>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December 31, 2021 and 2022</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20" w:type="dxa"/>
            <w:vAlign w:val="bottom"/>
            <w:gridSpan w:val="7"/>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4"/>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195,041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9"/>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4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16,574</w:t>
            </w:r>
          </w:p>
        </w:tc>
        <w:tc>
          <w:tcPr>
            <w:tcW w:w="10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1,564 %</w:t>
            </w:r>
          </w:p>
        </w:tc>
        <w:tc>
          <w:tcPr>
            <w:tcW w:w="0" w:type="dxa"/>
            <w:vAlign w:val="bottom"/>
          </w:tcPr>
          <w:p>
            <w:pPr>
              <w:spacing w:after="0"/>
              <w:rPr>
                <w:sz w:val="1"/>
                <w:szCs w:val="1"/>
                <w:color w:val="auto"/>
              </w:rPr>
            </w:pPr>
          </w:p>
        </w:tc>
      </w:tr>
      <w:tr>
        <w:trPr>
          <w:trHeight w:val="234"/>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200" w:lineRule="exact"/>
        <w:rPr>
          <w:sz w:val="20"/>
          <w:szCs w:val="20"/>
          <w:color w:val="auto"/>
        </w:rPr>
      </w:pPr>
    </w:p>
    <w:p>
      <w:pPr>
        <w:ind w:right="260" w:firstLine="648"/>
        <w:spacing w:after="0" w:line="289" w:lineRule="auto"/>
        <w:rPr>
          <w:sz w:val="20"/>
          <w:szCs w:val="20"/>
          <w:color w:val="auto"/>
        </w:rPr>
      </w:pPr>
      <w:r>
        <w:rPr>
          <w:rFonts w:ascii="Times New Roman" w:cs="Times New Roman" w:eastAsia="Times New Roman" w:hAnsi="Times New Roman"/>
          <w:sz w:val="17"/>
          <w:szCs w:val="17"/>
          <w:color w:val="auto"/>
        </w:rPr>
        <w:t>Recurring and other revenue for the three months ended December 31, 2022 increased by $61.4 million, or 31%, to $256.4 million from $195.0 million for three months ended December 31, 2021. Recurring and other revenue increased primarily as a result of incremental revenues from new and existing clients due to the strong performance by our sales team and also increases in client workforce levels as compared to the prior fiscal year.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18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Interest income on funds held for clients for the three months ended December 31, 2022 increased by $15.6 million, or 1,564%, to $16.6 million from $1.0 million for the three months ended December 31, 2021. Interest income on funds held for clients increased primarily due to higher interest rates and higher average daily balances for funds held due to the addition of new clients to our client base and also increases in client workforce levels as compared to the prior fiscal year.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80" w:type="dxa"/>
            <w:vAlign w:val="bottom"/>
            <w:gridSpan w:val="3"/>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w w:val="96"/>
              </w:rPr>
              <w:t>70,821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90,076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19,255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Cost of revenues for the three months ended December 31, 2022 increased by $19.3 million, or 27%, to $90.1 million from $70.8 million for the three months ended December 31, 2021. Cost of revenues increased primarily as a result of the continued growth of our business, in particular, $9.6 million in additional employee-related costs resulting from additional personnel necessary to provide services to new and existing clients, $4.7 million in additional delivery and other processing costs, $1.9 million in additional stock-based compensation expense and $1.9 million in amortization of certain acquired intangible assets.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52,219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6"/>
              </w:rPr>
              <w:t>75,694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23,475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for the three months ended December 31, 2022 increased by $23.5 million, or 45%, to $75.7 million from $52.2 million for the three months ended December 31, 2021. The increase in sales and marketing expense was primarily due to $14.5 million of additional employee-related costs, including those incurred to expand our sales team. The increase was also driven by $5.1 million of additional stock-based compensation costs associated with our equity incentive plan and $2.3 million in additional marketing lead generation costs.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25,278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41,029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15,751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right="28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December 31, 2022 increased by $15.8 million, or 62%, to $41.0 million from $25.3 million for the three months ended December 31, 2021. The increase in research and development expenses was primarily due to $10.5 million of additional employee-related costs related to additional development personnel and $5.9 million of additional stock-based compensation costs associated with our equity incentive plan, partially offset by $1.0 million in higher period-over-period capitalized internal-use software costs.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60" w:type="dxa"/>
            <w:vAlign w:val="bottom"/>
            <w:gridSpan w:val="3"/>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39,581</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48,001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8,420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December 31, 2022 increased by $8.4 million, or 21%, to $48.0 million from $39.6 million for the three months ended December 31, 2021. The increase in general and administrative expense was primarily due to $4.4 million of additional stock-based compensation costs associated with our equity incentive plan and $3.3 million in additional employee-related costs.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40" w:type="dxa"/>
            <w:vAlign w:val="bottom"/>
            <w:gridSpan w:val="3"/>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Meaningful</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expense did not materially change for the three months ended December 31, 2022 as compared to the three months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effective tax rate was (26.9)% and 14.3% for the three months ended December 31, 2021 and 2022, respectively. Our effective tax rate for the three months ended December 31, 2021 was lower than the federal statutory rate of 21% primarily due to excess tax benefits from employee stock-based compensation. Our effective tax rate for the three months ended December 31, 2022 was lower than the federal statutory rate of 21% primarily due to a decrease to the valuation allowance, partially offset by non-deductible stock-based compensation under Internal Revenue Code Section 162(m).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Six Months Ended December 31, 2021 and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375,865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501,840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24,448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1,208 %</w:t>
            </w:r>
          </w:p>
        </w:tc>
        <w:tc>
          <w:tcPr>
            <w:tcW w:w="0" w:type="dxa"/>
            <w:vAlign w:val="bottom"/>
          </w:tcPr>
          <w:p>
            <w:pPr>
              <w:spacing w:after="0"/>
              <w:rPr>
                <w:sz w:val="1"/>
                <w:szCs w:val="1"/>
                <w:color w:val="auto"/>
              </w:rPr>
            </w:pPr>
          </w:p>
        </w:tc>
      </w:tr>
      <w:tr>
        <w:trPr>
          <w:trHeight w:val="234"/>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200" w:lineRule="exact"/>
        <w:rPr>
          <w:sz w:val="20"/>
          <w:szCs w:val="20"/>
          <w:color w:val="auto"/>
        </w:rPr>
      </w:pPr>
    </w:p>
    <w:p>
      <w:pPr>
        <w:ind w:right="320" w:firstLine="648"/>
        <w:spacing w:after="0" w:line="289" w:lineRule="auto"/>
        <w:rPr>
          <w:sz w:val="20"/>
          <w:szCs w:val="20"/>
          <w:color w:val="auto"/>
        </w:rPr>
      </w:pPr>
      <w:r>
        <w:rPr>
          <w:rFonts w:ascii="Times New Roman" w:cs="Times New Roman" w:eastAsia="Times New Roman" w:hAnsi="Times New Roman"/>
          <w:sz w:val="17"/>
          <w:szCs w:val="17"/>
          <w:color w:val="auto"/>
        </w:rPr>
        <w:t>Recurring and other revenue for the six months ended December 31, 2022 increased by $126.0 million, or 34%, to $501.8 million from $375.9 million for six months ended December 31, 2021. Recurring and other revenue increased primarily as a result of incremental revenues from new and existing clients due to the strong performance by our sales team and also increases in client workforce levels as compared to the prior fiscal year.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187"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Interest income on funds held for clients for the six months ended December 31, 2022 increased by $22.6 million, or 1,208%, to $24.4 million from $1.9 million for the six months ended December 31, 2021. Interest income on funds held for clients increased primarily due to higher interest rates and higher average daily balances for funds held due to the addition of new clients to our client base and also increases in client workforce levels as compared to the prior fiscal year.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134,070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174,619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40,549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9"/>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0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Cost of revenues for the six months ended December 31, 2022 increased by $40.5 million, or 30%, to $174.6 million from $134.1 million for the six months ended December 31, 2021. Cost of revenues increased primarily as a result of the continued growth of our business, in particular, $21.1 million in additional employee-related costs resulting from additional personnel necessary to provide services to new and existing clients, $10.3 million in additional delivery and other processing costs, $3.7 million in amortization of certain acquired intangible assets and $3.3 million in additional stock-based compensation costs associated with our equity incentive plan.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102,104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146,757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44,653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for the six months ended December 31, 2022 increased by $44.7 million, or 44%, to $146.8 million from $102.1 million for the six months ended December 31, 2021. The increase in sales and marketing expense was primarily due to $27.8 million of additional employee-related costs, including those incurred to expand our sales team. The increase was also driven by $9.5 million of additional stock-based compensation costs associated with our equity incentive plan and $4.8 million in additional marketing lead generation costs.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gridSpan w:val="3"/>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48,354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81,122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32,768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six months ended December 31, 2022 increased by $32.8 million, or 68%, to $81.1 million from $48.4 million for the six months ended December 31, 2021. The increase in research and development expenses was primarily due to $21.8 million of additional employee-related costs related to additional development personnel and $11.0 million of additional stock-based compensation costs associated with our equity incentive plan, partially offset by $1.4 million in higher period-over-period capitalized internal-use software costs.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gridSpan w:val="3"/>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74,816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98,493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23,677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six months ended December 31, 2022 increased by $23.7 million, or 32%, to $98.5 million from $74.8 million for the six months ended December 31, 2021. The increase in general and administrative expense was primarily due to $13.7 million of additional stock-based compensation costs associated with our equity incentive plan and $8.4 million in additional employee-related costs.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80" w:type="dxa"/>
            <w:vAlign w:val="bottom"/>
            <w:gridSpan w:val="3"/>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6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9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Meaningful</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expense did not materially change for the six months ended December 31, 2022 as compared to the six months ended December 31,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effective tax rate was (127.8)% and (82.9)% for the six months ended December 31, 2021 and 2022, respectively. Our effective tax rate for the six months ended December 31, 2021 was lower than the federal statutory rate of 21% primarily due to excess tax benefits from employee stock-based compensation, state and local income taxes, partially offset by an increase in the valuation allowance. Our effective tax rate for the six months ended December 31, 2022 was lower than the federal statutory rate of 21% primarily due to excess tax benefits from employee stock-based compensation, state and local income taxes, and a decrease in the valuation allowance.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Trends and Seasonality</w:t>
      </w:r>
    </w:p>
    <w:p>
      <w:pPr>
        <w:spacing w:after="0" w:line="18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2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The seasonal fluctuations in revenues also positively impact gross profits during our fiscal third quarter. Our historical results for our fiscal third quarter should not be considered a reliable indicator of our future results of operations.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may differ from our estimates under different assumptions or conditions and, to the extent that there are differences between our estimates and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results, our future financial statement presentation, financial condition, results of operations and cash flows will be affected.</w:t>
      </w:r>
    </w:p>
    <w:p>
      <w:pPr>
        <w:spacing w:after="0" w:line="185"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Accounting estimates used in the preparation of these consolidated financial statements change as new events occur, as more experience is acquired, as additional information is obtained and as the operating environment changes. Our critical accounting policies and use of estimates are disclosed in our audited consolidated financial statements for the year ended June 30, 2022 included in our Annual Report on Form 10-K filed with the SEC on August 5,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primary liquidity needs are related to the funding of general business requirements, including working capital requirements, research and development, and capital expenditures. As of December 31, 2022, our principal source of liquidity was $120.1 million of cash and cash equivalents. In August 2022, we amended the credit agreement entered in July 2019 to increase the borrowing capacity under our revolving credit facility to $550.0 million, which may be increased up to $825.0 million. No amounts were drawn on the revolving credit facility as of December 31, 2022. Refer to Note 8 of the Notes to the Unaudited Consolidated Financial Statements for additional detail on the amended credit agreement.</w:t>
      </w:r>
    </w:p>
    <w:p>
      <w:pPr>
        <w:spacing w:after="0" w:line="1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may invest portions of our excess cash and cash equivalents in highly liquid, investment-grade marketable securities. These investments may consist of commercial paper, corporate debt issuances, asset-backed debt securities, certificates of deposit, U.S. treasury securities, U.S. government agency securities and other securities with credit quality ratings of A-1 or higher. As of December 31, 2022, we did not have any corporate investments.</w:t>
      </w:r>
    </w:p>
    <w:p>
      <w:pPr>
        <w:spacing w:after="0" w:line="14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order to grow our business, we intend to increase our personnel and related expenses and to make significant investments in our platform, data centers and general infrastructure. The timing and amount of these investments will vary based on our financial condition, the rate at which we add new clients and new personnel and the scale of our module development, data centers and other activities. Many of these investments will occur in advance of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acquisitions and other investments principally with cash flows from operations, and to the extent that our liquidity needs exceed our cash from operations, we would look to our cash on hand or utilize the borrowing capacity under our credit facility to satisfy those needs.</w:t>
      </w:r>
    </w:p>
    <w:p>
      <w:pPr>
        <w:spacing w:after="0" w:line="14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Funds held for clients and client fund obligations will vary substantially from period to period as a result of the timing of payroll and tax obligations due. Our payroll processing activities involve the movement of significant funds from accounts of employers to employees and relevant taxing authorities.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eleven major U.S. banks to execute ACH and wire transfers to support our client payroll and tax services. We believe we have sufficient capacity under these ACH arrangements to handle all transaction volumes for the foreseeable future. We primarily collect fees for our services via ACH transactions at the same time we debit the client’s account for payroll and tax obligations and thus are able to reduce collectability and accounts receivable risks.</w:t>
      </w:r>
    </w:p>
    <w:p>
      <w:pPr>
        <w:spacing w:after="0" w:line="151"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We believe our current cash and cash equivalents, future cash flow from operations, and access to our credit facility will be sufficient to meet our ongoing working capital, capital expenditure and other liquidity requirements for at least the next 12 months, and thereafter, for the foreseeable future.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data regarding cash flows for the periods indicated:</w:t>
      </w:r>
    </w:p>
    <w:p>
      <w:pPr>
        <w:spacing w:after="0" w:line="2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78,757</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(296,060)</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sales and maturities of available-for-sale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190,253</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(19,740)</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81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(218,337)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(132,181)</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client fund obligations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(922,079)</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(79,369)</w:t>
            </w:r>
          </w:p>
        </w:tc>
      </w:tr>
      <w:tr>
        <w:trPr>
          <w:trHeight w:val="23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2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(993,862)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funds held for clients' cash and cash equivalents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(1,047,286)</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$26.9 million and $78.8 million for the six months ended December 31, 2021 and 2022, respectively. The change in net cash provided by operating activities from the six months ended December 31, 2021 to the six months ended December 31, 2022 was primarily due to improved operating results after adjusting for non-cash items including stock-based compensation expense, depreciation and amortization expense and deferred income tax benefit, accompanied by net changes in operating assets and liabilities during the six months ended December 31, 2022 as compared to the six months ended December 31, 2021.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$218.3 million and $132.2 million for the six months ended December 31, 2021 and 2022, respectively. The net cash used in investing activities is significantly impacted by the timing of purchases and sales and maturities of investments as we invest portions of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53"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change in net cash used in investing activities was primarily due to $129.9 million in additional proceeds from the sales and maturities of available-for-sale securities and a $60.2 million decrease in amounts paid for acquisitions, net of cash acquired, partially offset by $106.1 million in additional purchases of available-for-sale securities during the six months ended December 31, 2022 as compared to the six months ended December 31,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(used in) financing activities was $100.4 million and $(993.9) million for the six months ended December 31, 2021 and 2022, respectively. The change in net cash provided by (used in) financing activities was primarily the result of a decrease in the change in client fund obligations of $1,082.4 million due to the timing of client funds collected and related remittance of those funds to client employees and taxing authorities during the six months ended December 31, 2022 as compared to the six months ended December 31, 2021.</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2022, our principal commitments consisted of $86.0 million in operating lease obligations, of which $10.9 million is due in the next twelve months. We also had $59.3 million in purchase obligations, of which $30.2 million is due in the next twelve months.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$10.5 million and $6.7 million for the six months ended December 31, 2021 and 2022, respectively, exclusive of capitalized internal-use software costs of $18.0 million and $19.7 million for the same periods,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Refer to Note 2 of the Notes to the Unaudited Consolidated Financial Statements for a discussion of recently issued accounting standards.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operations primarily in the United States and are exposed to market risks in the ordinary course of our business. These risks primarily include interest rate and certain other exposures including risks relating to changes in the general economic conditions in the United States. Refer to “Part I. Item 1A. Risk Factors” on our Annual Report on Form 10-K filed with the SEC on August 5, 2022 for risks related to our business as well as risks related to the COVID-19 pandemic.</w:t>
      </w:r>
    </w:p>
    <w:p>
      <w:pPr>
        <w:spacing w:after="0" w:line="153"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We have not used, nor do we intend to use, derivatives to mitigate the impact of interest rate or other exposure or for trading or speculative purposes.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2022, we had cash and cash equivalents of $120.1 million and funds held for clients of $3,065.7 million. We did not hold corporate investments on our balance sheet as of December 31, 2022. We deposit our cash and cash equivalents and significant portions of our funds held for clients in demand deposit accounts with various financial institutions. We invest portions of our excess cash and cash equivalents and funds held for clients in marketable securities including commercial paper, corporate debt issuances, asset-backed debt securities, certificates of deposit, U.S. government agency securities and other which were classified as available-for-sale securities as of December 31, 2022.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due to expected credit losses. We have not recorded any credit impairment losses on our portfolio to date.</w:t>
      </w:r>
    </w:p>
    <w:p>
      <w:pPr>
        <w:spacing w:after="0" w:line="143"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Based upon a sensitivity model that measures market value changes caused by interest rate fluctuations, an immediate 100-basis point increase in interest rates would have resulted in a decrease in the market value of our available-for-sale securities by $4.1 million as of December 31, 2022. An immediate 100-basis point decrease in interest rates would have resulted in an increase in the market value of our available-for-sale securities by</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$4.1 million as of December 31, 2022. Fluctuations in the value of our available-for-sale securities caused by changes in interest rates are recorded in other comprehensive income and are only realized if we sell the underlying securities.</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12529"/>
        </w:rPr>
        <w:t xml:space="preserve">Additionally, as described in </w:t>
      </w:r>
      <w:r>
        <w:rPr>
          <w:rFonts w:ascii="Times New Roman" w:cs="Times New Roman" w:eastAsia="Times New Roman" w:hAnsi="Times New Roman"/>
          <w:sz w:val="18"/>
          <w:szCs w:val="18"/>
          <w:color w:val="000000"/>
        </w:rPr>
        <w:t>Note 8 of the Notes to the Unaudited Consolidated Financial Statements,</w:t>
      </w:r>
      <w:r>
        <w:rPr>
          <w:rFonts w:ascii="Times New Roman" w:cs="Times New Roman" w:eastAsia="Times New Roman" w:hAnsi="Times New Roman"/>
          <w:sz w:val="18"/>
          <w:szCs w:val="18"/>
          <w:color w:val="212529"/>
        </w:rPr>
        <w:t xml:space="preserve"> we entered into a first amendment to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credit agreement that provides for a revolving credit facility (“credit facility”) in the aggregate amount of </w:t>
      </w:r>
      <w:r>
        <w:rPr>
          <w:rFonts w:ascii="Times New Roman" w:cs="Times New Roman" w:eastAsia="Times New Roman" w:hAnsi="Times New Roman"/>
          <w:sz w:val="18"/>
          <w:szCs w:val="18"/>
          <w:color w:val="000000"/>
        </w:rPr>
        <w:t>$550.0</w:t>
      </w:r>
      <w:r>
        <w:rPr>
          <w:rFonts w:ascii="Times New Roman" w:cs="Times New Roman" w:eastAsia="Times New Roman" w:hAnsi="Times New Roman"/>
          <w:sz w:val="18"/>
          <w:szCs w:val="18"/>
          <w:color w:val="212529"/>
        </w:rPr>
        <w:t xml:space="preserve"> million, which may be increased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$825.0 </w:t>
      </w:r>
      <w:r>
        <w:rPr>
          <w:rFonts w:ascii="Times New Roman" w:cs="Times New Roman" w:eastAsia="Times New Roman" w:hAnsi="Times New Roman"/>
          <w:sz w:val="18"/>
          <w:szCs w:val="18"/>
          <w:color w:val="212529"/>
        </w:rPr>
        <w:t>million. Borrowings under the credit facility generally bear interest at a rate based upon the Term Secured Overnight Financing Rate (“SOFR”) 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the SOFR Adjustment or an adjusted base rate plus an applicable margin based on our then-applicable net total leverage ratio. As of </w:t>
      </w:r>
      <w:r>
        <w:rPr>
          <w:rFonts w:ascii="Times New Roman" w:cs="Times New Roman" w:eastAsia="Times New Roman" w:hAnsi="Times New Roman"/>
          <w:sz w:val="18"/>
          <w:szCs w:val="18"/>
          <w:color w:val="000000"/>
        </w:rPr>
        <w:t>December 31, 2022</w:t>
      </w:r>
      <w:r>
        <w:rPr>
          <w:rFonts w:ascii="Times New Roman" w:cs="Times New Roman" w:eastAsia="Times New Roman" w:hAnsi="Times New Roman"/>
          <w:sz w:val="18"/>
          <w:szCs w:val="18"/>
          <w:color w:val="212529"/>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there were no amounts drawn on the credit facility. To the extent that we draw additional amounts under the credit facility, we may be exposed to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market risk from changes in the underlying index rates, which affects our interest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8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4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Co-Chief Executive Officers and Chief Financial Officer, has evaluated the effectiveness of our disclosure controls and procedures as of December 31, 2022, the end of the period covered by this Quarterly Report on Form 10-Q. Based upon such evaluation, our Co-Chief Executive Officers and Chief Financial Officer have concluded that our disclosure controls and procedures were effective as of such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three-month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disclosed in “Item 1A. Risk Factors” of our Annual Report on Form 10-K for the fiscal year ended June 30, 2022 filed with the SEC on August 5,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 Sales of Unregistered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(b)Use of Proceeds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4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as described in the final prospectus filed with the SEC pursuant to Rule 424(b) on December 12, 2014.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set forth in the Index to Exhibits immediately following this page.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56"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980" w:type="dxa"/>
            <w:vAlign w:val="bottom"/>
            <w:gridSpan w:val="9"/>
          </w:tcPr>
          <w:p>
            <w:pPr>
              <w:ind w:left="46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82"/>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Exhibit Nos.</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80" w:type="dxa"/>
            <w:vAlign w:val="bottom"/>
            <w:gridSpan w:val="9"/>
          </w:tcPr>
          <w:p>
            <w:pPr>
              <w:ind w:left="17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6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60" w:type="dxa"/>
            <w:vAlign w:val="bottom"/>
            <w:gridSpan w:val="14"/>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Second Amended and Restated Certificate of Incorporation (filed as Exhibit 3.1 of Paylocity Holding Corporation’s Current Report on</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Form 8-K on December 3, 2021 (Registration No. 001-36348)).</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6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4"/>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Second Amended and Restated Bylaws of Paylocity Holding Corporation (filed as Exhibit 3.2 of Paylocity Holding Corporation’s</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534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Current Report on Form 8-K on December 3, 2021 (File No. 001-36348)).</w:t>
              </w:r>
            </w:hyperlink>
          </w:p>
        </w:tc>
        <w:tc>
          <w:tcPr>
            <w:tcW w:w="4000" w:type="dxa"/>
            <w:vAlign w:val="bottom"/>
            <w:tcBorders>
              <w:top w:val="single" w:sz="8" w:color="0000FF"/>
            </w:tcBorders>
            <w:gridSpan w:val="2"/>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Securities Exchange Act Rules 13a-4 and 15d-14 as adopted pursuant to Section</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top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20" w:type="dxa"/>
            <w:vAlign w:val="bottom"/>
          </w:tcPr>
          <w:p>
            <w:pPr>
              <w:spacing w:after="0"/>
              <w:rPr>
                <w:sz w:val="14"/>
                <w:szCs w:val="14"/>
                <w:color w:val="auto"/>
              </w:rPr>
            </w:pPr>
          </w:p>
        </w:tc>
      </w:tr>
      <w:tr>
        <w:trPr>
          <w:trHeight w:val="20"/>
        </w:trPr>
        <w:tc>
          <w:tcPr>
            <w:tcW w:w="5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Securities Exchange Act Rules 13a-4 and 15d-14 as adopted pursuant to Section</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top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20" w:type="dxa"/>
            <w:vAlign w:val="bottom"/>
          </w:tcPr>
          <w:p>
            <w:pPr>
              <w:spacing w:after="0"/>
              <w:rPr>
                <w:sz w:val="14"/>
                <w:szCs w:val="14"/>
                <w:color w:val="auto"/>
              </w:rPr>
            </w:pPr>
          </w:p>
        </w:tc>
      </w:tr>
      <w:tr>
        <w:trPr>
          <w:trHeight w:val="20"/>
        </w:trPr>
        <w:tc>
          <w:tcPr>
            <w:tcW w:w="5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3*</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Securities Exchange Act Rules 13a-4 and 15d-14 as adopted pursuant to Section 302</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20" w:type="dxa"/>
            <w:vAlign w:val="bottom"/>
            <w:tcBorders>
              <w:top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40" w:type="dxa"/>
            <w:vAlign w:val="bottom"/>
            <w:gridSpan w:val="2"/>
          </w:tcPr>
          <w:p>
            <w:pPr>
              <w:spacing w:after="0"/>
              <w:rPr>
                <w:sz w:val="14"/>
                <w:szCs w:val="14"/>
                <w:color w:val="auto"/>
              </w:rPr>
            </w:pPr>
          </w:p>
        </w:tc>
      </w:tr>
      <w:tr>
        <w:trPr>
          <w:trHeight w:val="20"/>
        </w:trPr>
        <w:tc>
          <w:tcPr>
            <w:tcW w:w="5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263"/>
        </w:trPr>
        <w:tc>
          <w:tcPr>
            <w:tcW w:w="1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Co-Chief Executive</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4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220" w:type="dxa"/>
            <w:vAlign w:val="bottom"/>
            <w:gridSpan w:val="4"/>
          </w:tcPr>
          <w:p>
            <w:pPr>
              <w:spacing w:after="0"/>
              <w:rPr>
                <w:sz w:val="14"/>
                <w:szCs w:val="14"/>
                <w:color w:val="auto"/>
              </w:rPr>
            </w:pPr>
          </w:p>
        </w:tc>
      </w:tr>
      <w:tr>
        <w:trPr>
          <w:trHeight w:val="20"/>
        </w:trPr>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40" w:type="dxa"/>
            <w:vAlign w:val="bottom"/>
            <w:gridSpan w:val="5"/>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r>
      <w:tr>
        <w:trPr>
          <w:trHeight w:val="263"/>
        </w:trPr>
        <w:tc>
          <w:tcPr>
            <w:tcW w:w="1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Co-Chief Executive</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4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220" w:type="dxa"/>
            <w:vAlign w:val="bottom"/>
            <w:gridSpan w:val="4"/>
          </w:tcPr>
          <w:p>
            <w:pPr>
              <w:spacing w:after="0"/>
              <w:rPr>
                <w:sz w:val="14"/>
                <w:szCs w:val="14"/>
                <w:color w:val="auto"/>
              </w:rPr>
            </w:pPr>
          </w:p>
        </w:tc>
      </w:tr>
      <w:tr>
        <w:trPr>
          <w:trHeight w:val="20"/>
        </w:trPr>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40" w:type="dxa"/>
            <w:vAlign w:val="bottom"/>
            <w:gridSpan w:val="5"/>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r>
      <w:tr>
        <w:trPr>
          <w:trHeight w:val="263"/>
        </w:trPr>
        <w:tc>
          <w:tcPr>
            <w:tcW w:w="1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3**</w:t>
            </w:r>
          </w:p>
        </w:tc>
        <w:tc>
          <w:tcPr>
            <w:tcW w:w="10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Chief Financial</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32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540" w:type="dxa"/>
            <w:vAlign w:val="bottom"/>
            <w:gridSpan w:val="6"/>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80" w:type="dxa"/>
            <w:vAlign w:val="bottom"/>
            <w:gridSpan w:val="11"/>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4"/>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3"/>
        </w:trPr>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70"/>
        </w:trPr>
        <w:tc>
          <w:tcPr>
            <w:tcW w:w="260" w:type="dxa"/>
            <w:vAlign w:val="bottom"/>
            <w:tcBorders>
              <w:bottom w:val="single" w:sz="8" w:color="auto"/>
            </w:tcBorders>
            <w:gridSpan w:val="2"/>
          </w:tcPr>
          <w:p>
            <w:pPr>
              <w:spacing w:after="0"/>
              <w:rPr>
                <w:sz w:val="23"/>
                <w:szCs w:val="23"/>
                <w:color w:val="auto"/>
              </w:rPr>
            </w:pPr>
          </w:p>
        </w:tc>
        <w:tc>
          <w:tcPr>
            <w:tcW w:w="1120" w:type="dxa"/>
            <w:vAlign w:val="bottom"/>
            <w:tcBorders>
              <w:bottom w:val="single" w:sz="8" w:color="auto"/>
            </w:tcBorders>
            <w:gridSpan w:val="4"/>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67"/>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980" w:type="dxa"/>
            <w:vAlign w:val="bottom"/>
            <w:gridSpan w:val="18"/>
          </w:tcPr>
          <w:p>
            <w:pPr>
              <w:ind w:left="10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82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gridSpan w:val="6"/>
          </w:tcPr>
          <w:p>
            <w:pPr>
              <w:ind w:left="4160"/>
              <w:spacing w:after="0"/>
              <w:rPr>
                <w:sz w:val="20"/>
                <w:szCs w:val="20"/>
                <w:color w:val="auto"/>
              </w:rPr>
            </w:pPr>
            <w:r>
              <w:rPr>
                <w:rFonts w:ascii="Times New Roman" w:cs="Times New Roman" w:eastAsia="Times New Roman" w:hAnsi="Times New Roman"/>
                <w:sz w:val="18"/>
                <w:szCs w:val="18"/>
                <w:color w:val="auto"/>
              </w:rPr>
              <w:t>36</w:t>
            </w:r>
          </w:p>
        </w:tc>
        <w:tc>
          <w:tcPr>
            <w:tcW w:w="7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39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4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PAYLOCITY HOLDING CORPORATION</w:t>
            </w:r>
          </w:p>
        </w:tc>
      </w:tr>
      <w:tr>
        <w:trPr>
          <w:trHeight w:val="28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3, 2023</w:t>
            </w: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Steven R. Beauchamp</w:t>
            </w:r>
          </w:p>
        </w:tc>
      </w:tr>
      <w:tr>
        <w:trPr>
          <w:trHeight w:val="214"/>
        </w:trPr>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Steven R. Beauchamp</w:t>
            </w:r>
          </w:p>
        </w:tc>
      </w:tr>
      <w:tr>
        <w:trPr>
          <w:trHeight w:val="184"/>
        </w:trPr>
        <w:tc>
          <w:tcPr>
            <w:tcW w:w="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580" w:type="dxa"/>
            <w:vAlign w:val="bottom"/>
          </w:tcPr>
          <w:p>
            <w:pPr>
              <w:ind w:left="184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Co-Chief Executive Officer (Principal Executive Officer) and</w:t>
            </w:r>
          </w:p>
        </w:tc>
      </w:tr>
      <w:tr>
        <w:trPr>
          <w:trHeight w:val="238"/>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r>
      <w:tr>
        <w:trPr>
          <w:trHeight w:val="28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3, 2023</w:t>
            </w: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214"/>
        </w:trPr>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Toby J. Williams</w:t>
            </w:r>
          </w:p>
        </w:tc>
      </w:tr>
      <w:tr>
        <w:trPr>
          <w:trHeight w:val="184"/>
        </w:trPr>
        <w:tc>
          <w:tcPr>
            <w:tcW w:w="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580" w:type="dxa"/>
            <w:vAlign w:val="bottom"/>
          </w:tcPr>
          <w:p>
            <w:pPr>
              <w:ind w:left="184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President, Co-Chief Executive Officer (Principal Executive</w:t>
            </w:r>
          </w:p>
        </w:tc>
      </w:tr>
      <w:tr>
        <w:trPr>
          <w:trHeight w:val="238"/>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Officer) and Director</w:t>
            </w:r>
          </w:p>
        </w:tc>
      </w:tr>
      <w:tr>
        <w:trPr>
          <w:trHeight w:val="28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3, 2023</w:t>
            </w: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Ryan Glenn</w:t>
            </w:r>
          </w:p>
        </w:tc>
      </w:tr>
      <w:tr>
        <w:trPr>
          <w:trHeight w:val="214"/>
        </w:trPr>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Ryan Glenn</w:t>
            </w:r>
          </w:p>
        </w:tc>
      </w:tr>
      <w:tr>
        <w:trPr>
          <w:trHeight w:val="184"/>
        </w:trPr>
        <w:tc>
          <w:tcPr>
            <w:tcW w:w="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580" w:type="dxa"/>
            <w:vAlign w:val="bottom"/>
          </w:tcPr>
          <w:p>
            <w:pPr>
              <w:ind w:left="184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Chief Financial Officer and Treasurer (Principal Financial</w:t>
            </w:r>
          </w:p>
        </w:tc>
      </w:tr>
      <w:tr>
        <w:trPr>
          <w:trHeight w:val="238"/>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w:t>
            </w:r>
          </w:p>
        </w:tc>
      </w:tr>
      <w:tr>
        <w:trPr>
          <w:trHeight w:val="909"/>
        </w:trPr>
        <w:tc>
          <w:tcPr>
            <w:tcW w:w="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5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37</w:t>
            </w:r>
          </w:p>
        </w:tc>
        <w:tc>
          <w:tcPr>
            <w:tcW w:w="4900" w:type="dxa"/>
            <w:vAlign w:val="bottom"/>
          </w:tcPr>
          <w:p>
            <w:pPr>
              <w:spacing w:after="0"/>
              <w:rPr>
                <w:sz w:val="24"/>
                <w:szCs w:val="24"/>
                <w:color w:val="auto"/>
              </w:rPr>
            </w:pPr>
          </w:p>
        </w:tc>
      </w:tr>
    </w:tbl>
    <w:p>
      <w:pPr>
        <w:sectPr>
          <w:pgSz w:w="11900" w:h="16838" w:orient="portrait"/>
          <w:cols w:equalWidth="0" w:num="1">
            <w:col w:w="11220"/>
          </w:cols>
          <w:pgMar w:left="320" w:top="256" w:right="3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R. Beauchamp, certify that:</w:t>
      </w:r>
    </w:p>
    <w:p>
      <w:pPr>
        <w:spacing w:after="0" w:line="185" w:lineRule="exact"/>
        <w:rPr>
          <w:sz w:val="20"/>
          <w:szCs w:val="20"/>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 (the “Company”);</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300" w:firstLine="648"/>
        <w:spacing w:after="0" w:line="266" w:lineRule="auto"/>
        <w:tabs>
          <w:tab w:leader="none" w:pos="195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ended December 31, 2022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3, 2023</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R. Beauchamp</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Steven R. Beauchamp</w:t>
            </w:r>
          </w:p>
        </w:tc>
      </w:tr>
      <w:tr>
        <w:trPr>
          <w:trHeight w:val="369"/>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Co-Chief Executive Officer (Principal Executive Officer) and</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r>
    </w:tbl>
    <w:p>
      <w:pPr>
        <w:sectPr>
          <w:pgSz w:w="11900" w:h="16838" w:orient="portrait"/>
          <w:cols w:equalWidth="0" w:num="1">
            <w:col w:w="11240"/>
          </w:cols>
          <w:pgMar w:left="320" w:top="110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Toby J. Williams, certify that:</w:t>
      </w:r>
    </w:p>
    <w:p>
      <w:pPr>
        <w:spacing w:after="0" w:line="185"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 (the “Company”);</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300" w:firstLine="648"/>
        <w:spacing w:after="0" w:line="266" w:lineRule="auto"/>
        <w:tabs>
          <w:tab w:leader="none" w:pos="195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ended December 31, 2022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3, 2023</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Toby J. Williams</w:t>
            </w:r>
          </w:p>
        </w:tc>
      </w:tr>
      <w:tr>
        <w:trPr>
          <w:trHeight w:val="369"/>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Co-Chief Executive Officer (Principal Executive Officer)</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ectPr>
          <w:pgSz w:w="11900" w:h="16838" w:orient="portrait"/>
          <w:cols w:equalWidth="0" w:num="1">
            <w:col w:w="11240"/>
          </w:cols>
          <w:pgMar w:left="320" w:top="110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Glenn, certify that:</w:t>
      </w:r>
    </w:p>
    <w:p>
      <w:pPr>
        <w:spacing w:after="0" w:line="185" w:lineRule="exact"/>
        <w:rPr>
          <w:sz w:val="20"/>
          <w:szCs w:val="20"/>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 (the “Company”);</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300" w:firstLine="648"/>
        <w:spacing w:after="0" w:line="266" w:lineRule="auto"/>
        <w:tabs>
          <w:tab w:leader="none" w:pos="195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ended December 31, 2022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3, 2023</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Glenn</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418"/>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and Treasurer (Principal Financial Officer)</w:t>
            </w:r>
          </w:p>
        </w:tc>
      </w:tr>
    </w:tbl>
    <w:p>
      <w:pPr>
        <w:sectPr>
          <w:pgSz w:w="11900" w:h="16838" w:orient="portrait"/>
          <w:cols w:equalWidth="0" w:num="1">
            <w:col w:w="11240"/>
          </w:cols>
          <w:pgMar w:left="320" w:top="110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undersigned, the Co-Chief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December 31, 2022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3, 2023</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R. Beauchamp</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Steven R. Beauchamp</w:t>
            </w:r>
          </w:p>
        </w:tc>
      </w:tr>
      <w:tr>
        <w:trPr>
          <w:trHeight w:val="364"/>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Co-Chief Executive Officer (Principal Executive Officer) and</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r>
    </w:tbl>
    <w:p>
      <w:pPr>
        <w:spacing w:after="0" w:line="24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0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undersigned, the Co-Chief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December 31, 2022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3, 2023</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Toby J. Williams</w:t>
            </w:r>
          </w:p>
        </w:tc>
      </w:tr>
      <w:tr>
        <w:trPr>
          <w:trHeight w:val="364"/>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Co-Chief Executive Officer (Principal Executive Officer)</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pacing w:after="0" w:line="24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0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40" w:firstLine="648"/>
        <w:spacing w:after="0" w:line="276" w:lineRule="auto"/>
        <w:rPr>
          <w:sz w:val="20"/>
          <w:szCs w:val="20"/>
          <w:color w:val="auto"/>
        </w:rPr>
      </w:pPr>
      <w:r>
        <w:rPr>
          <w:rFonts w:ascii="Times New Roman" w:cs="Times New Roman" w:eastAsia="Times New Roman" w:hAnsi="Times New Roman"/>
          <w:sz w:val="17"/>
          <w:szCs w:val="17"/>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w:t>
      </w:r>
    </w:p>
    <w:p>
      <w:pPr>
        <w:spacing w:after="0" w:line="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10-Q of the Company for the period ended December 31, 2022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3, 2023</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Glenn</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418"/>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and Treasurer (Principal Financial Officer)</w:t>
            </w:r>
          </w:p>
        </w:tc>
      </w:tr>
    </w:tbl>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2"/>
    </w:lvl>
  </w:abstractNum>
  <w:abstractNum w:abstractNumId="4">
    <w:nsid w:val="4DB127F8"/>
    <w:multiLevelType w:val="hybridMultilevel"/>
    <w:lvl w:ilvl="0">
      <w:lvlJc w:val="left"/>
      <w:lvlText w:val="(%1)"/>
      <w:numFmt w:val="lowerLetter"/>
      <w:start w:val="3"/>
    </w:lvl>
  </w:abstractNum>
  <w:abstractNum w:abstractNumId="5">
    <w:nsid w:val="216231B"/>
    <w:multiLevelType w:val="hybridMultilevel"/>
    <w:lvl w:ilvl="0">
      <w:lvlJc w:val="left"/>
      <w:lvlText w:val="(%1)"/>
      <w:numFmt w:val="lowerLetter"/>
      <w:start w:val="4"/>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67" Type="http://schemas.openxmlformats.org/officeDocument/2006/relationships/hyperlink" Target="https://www.sec.gov/Archives/edgar/data/1591698/000159169821000013/pcty-20211201xexhibit31.htm" TargetMode="External"/><Relationship Id="rId68" Type="http://schemas.openxmlformats.org/officeDocument/2006/relationships/hyperlink" Target="https://www.sec.gov/Archives/edgar/data/1591698/000159169821000013/pcty-20211201xexhibit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2023-02-03T09:05:35Z</dcterms:created>
  <dcterms:modified xsi:type="dcterms:W3CDTF">2023-02-03T09:05:35Z</dcterms:modified>
</cp:coreProperties>
</file>