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177165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740" w:hanging="425"/>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quarterly period ended September 30, 2018</w:t>
      </w:r>
    </w:p>
    <w:p>
      <w:pPr>
        <w:spacing w:after="0" w:line="141" w:lineRule="exact"/>
        <w:rPr>
          <w:sz w:val="24"/>
          <w:szCs w:val="24"/>
          <w:color w:val="auto"/>
        </w:rPr>
      </w:pPr>
    </w:p>
    <w:p>
      <w:pPr>
        <w:ind w:left="740" w:hanging="425"/>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4020"/>
        <w:spacing w:after="0"/>
        <w:tabs>
          <w:tab w:leader="none" w:pos="60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160655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jc w:val="center"/>
              <w:ind w:right="3288"/>
              <w:spacing w:after="0"/>
              <w:rPr>
                <w:sz w:val="20"/>
                <w:szCs w:val="20"/>
                <w:color w:val="auto"/>
              </w:rPr>
            </w:pPr>
            <w:r>
              <w:rPr>
                <w:rFonts w:ascii="Arial" w:cs="Arial" w:eastAsia="Arial" w:hAnsi="Arial"/>
                <w:sz w:val="14"/>
                <w:szCs w:val="14"/>
                <w:b w:val="1"/>
                <w:bCs w:val="1"/>
                <w:color w:val="auto"/>
                <w:w w:val="94"/>
              </w:rPr>
              <w:t>Delaware</w:t>
            </w:r>
          </w:p>
        </w:tc>
        <w:tc>
          <w:tcPr>
            <w:tcW w:w="136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46-4066644</w:t>
            </w:r>
          </w:p>
        </w:tc>
        <w:tc>
          <w:tcPr>
            <w:tcW w:w="0" w:type="dxa"/>
            <w:vAlign w:val="bottom"/>
          </w:tcPr>
          <w:p>
            <w:pPr>
              <w:spacing w:after="0"/>
              <w:rPr>
                <w:sz w:val="1"/>
                <w:szCs w:val="1"/>
                <w:color w:val="auto"/>
              </w:rPr>
            </w:pPr>
          </w:p>
        </w:tc>
      </w:tr>
      <w:tr>
        <w:trPr>
          <w:trHeight w:val="149"/>
        </w:trPr>
        <w:tc>
          <w:tcPr>
            <w:tcW w:w="5580" w:type="dxa"/>
            <w:vAlign w:val="bottom"/>
          </w:tcPr>
          <w:p>
            <w:pPr>
              <w:jc w:val="center"/>
              <w:ind w:right="3288"/>
              <w:spacing w:after="0" w:line="149" w:lineRule="exact"/>
              <w:rPr>
                <w:sz w:val="20"/>
                <w:szCs w:val="20"/>
                <w:color w:val="auto"/>
              </w:rPr>
            </w:pPr>
            <w:r>
              <w:rPr>
                <w:rFonts w:ascii="Arial" w:cs="Arial" w:eastAsia="Arial" w:hAnsi="Arial"/>
                <w:sz w:val="14"/>
                <w:szCs w:val="14"/>
                <w:color w:val="auto"/>
                <w:w w:val="94"/>
              </w:rPr>
              <w:t>(State or other jurisdiction of</w:t>
            </w:r>
          </w:p>
        </w:tc>
        <w:tc>
          <w:tcPr>
            <w:tcW w:w="136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82"/>
        </w:trPr>
        <w:tc>
          <w:tcPr>
            <w:tcW w:w="5580" w:type="dxa"/>
            <w:vAlign w:val="bottom"/>
          </w:tcPr>
          <w:p>
            <w:pPr>
              <w:jc w:val="center"/>
              <w:ind w:right="3288"/>
              <w:spacing w:after="0"/>
              <w:rPr>
                <w:sz w:val="20"/>
                <w:szCs w:val="20"/>
                <w:color w:val="auto"/>
              </w:rPr>
            </w:pPr>
            <w:r>
              <w:rPr>
                <w:rFonts w:ascii="Arial" w:cs="Arial" w:eastAsia="Arial" w:hAnsi="Arial"/>
                <w:sz w:val="14"/>
                <w:szCs w:val="14"/>
                <w:color w:val="auto"/>
                <w:w w:val="95"/>
              </w:rPr>
              <w:t>incorporation or organization)</w:t>
            </w:r>
          </w:p>
        </w:tc>
        <w:tc>
          <w:tcPr>
            <w:tcW w:w="1360" w:type="dxa"/>
            <w:vAlign w:val="bottom"/>
          </w:tcPr>
          <w:p>
            <w:pPr>
              <w:jc w:val="center"/>
              <w:ind w:left="22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313"/>
        </w:trPr>
        <w:tc>
          <w:tcPr>
            <w:tcW w:w="5580" w:type="dxa"/>
            <w:vAlign w:val="bottom"/>
          </w:tcPr>
          <w:p>
            <w:pPr>
              <w:jc w:val="center"/>
              <w:ind w:right="3188"/>
              <w:spacing w:after="0"/>
              <w:rPr>
                <w:sz w:val="20"/>
                <w:szCs w:val="20"/>
                <w:color w:val="auto"/>
              </w:rPr>
            </w:pPr>
            <w:r>
              <w:rPr>
                <w:rFonts w:ascii="Arial" w:cs="Arial" w:eastAsia="Arial" w:hAnsi="Arial"/>
                <w:sz w:val="14"/>
                <w:szCs w:val="14"/>
                <w:b w:val="1"/>
                <w:bCs w:val="1"/>
                <w:color w:val="auto"/>
                <w:w w:val="94"/>
              </w:rPr>
              <w:t>1400 American Lane</w:t>
            </w:r>
          </w:p>
        </w:tc>
        <w:tc>
          <w:tcPr>
            <w:tcW w:w="13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60173</w:t>
            </w:r>
          </w:p>
        </w:tc>
        <w:tc>
          <w:tcPr>
            <w:tcW w:w="0" w:type="dxa"/>
            <w:vAlign w:val="bottom"/>
          </w:tcPr>
          <w:p>
            <w:pPr>
              <w:spacing w:after="0"/>
              <w:rPr>
                <w:sz w:val="1"/>
                <w:szCs w:val="1"/>
                <w:color w:val="auto"/>
              </w:rPr>
            </w:pPr>
          </w:p>
        </w:tc>
      </w:tr>
      <w:tr>
        <w:trPr>
          <w:trHeight w:val="153"/>
        </w:trPr>
        <w:tc>
          <w:tcPr>
            <w:tcW w:w="5580" w:type="dxa"/>
            <w:vAlign w:val="bottom"/>
          </w:tcPr>
          <w:p>
            <w:pPr>
              <w:jc w:val="center"/>
              <w:ind w:right="3208"/>
              <w:spacing w:after="0" w:line="153" w:lineRule="exact"/>
              <w:rPr>
                <w:sz w:val="20"/>
                <w:szCs w:val="20"/>
                <w:color w:val="auto"/>
              </w:rPr>
            </w:pPr>
            <w:r>
              <w:rPr>
                <w:rFonts w:ascii="Arial" w:cs="Arial" w:eastAsia="Arial" w:hAnsi="Arial"/>
                <w:sz w:val="14"/>
                <w:szCs w:val="14"/>
                <w:b w:val="1"/>
                <w:bCs w:val="1"/>
                <w:color w:val="auto"/>
                <w:w w:val="94"/>
              </w:rPr>
              <w:t>Schaumburg, Illinois</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580" w:type="dxa"/>
            <w:vAlign w:val="bottom"/>
          </w:tcPr>
          <w:p>
            <w:pPr>
              <w:jc w:val="center"/>
              <w:ind w:right="3208"/>
              <w:spacing w:after="0"/>
              <w:rPr>
                <w:sz w:val="20"/>
                <w:szCs w:val="20"/>
                <w:color w:val="auto"/>
              </w:rPr>
            </w:pPr>
            <w:r>
              <w:rPr>
                <w:rFonts w:ascii="Arial" w:cs="Arial" w:eastAsia="Arial" w:hAnsi="Arial"/>
                <w:sz w:val="14"/>
                <w:szCs w:val="14"/>
                <w:color w:val="auto"/>
                <w:w w:val="95"/>
              </w:rPr>
              <w:t>(Address of principal executive offices)</w:t>
            </w:r>
          </w:p>
        </w:tc>
        <w:tc>
          <w:tcPr>
            <w:tcW w:w="1360" w:type="dxa"/>
            <w:vAlign w:val="bottom"/>
          </w:tcPr>
          <w:p>
            <w:pPr>
              <w:jc w:val="center"/>
              <w:ind w:left="10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63"/>
        </w:trPr>
        <w:tc>
          <w:tcPr>
            <w:tcW w:w="5580" w:type="dxa"/>
            <w:vAlign w:val="bottom"/>
          </w:tcPr>
          <w:p>
            <w:pPr>
              <w:jc w:val="right"/>
              <w:ind w:right="1308"/>
              <w:spacing w:after="0"/>
              <w:rPr>
                <w:sz w:val="20"/>
                <w:szCs w:val="20"/>
                <w:color w:val="auto"/>
              </w:rPr>
            </w:pPr>
            <w:r>
              <w:rPr>
                <w:rFonts w:ascii="Arial" w:cs="Arial" w:eastAsia="Arial" w:hAnsi="Arial"/>
                <w:sz w:val="14"/>
                <w:szCs w:val="14"/>
                <w:b w:val="1"/>
                <w:bCs w:val="1"/>
                <w:color w:val="auto"/>
              </w:rPr>
              <w:t>(847) 463-3200</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580" w:type="dxa"/>
            <w:vAlign w:val="bottom"/>
          </w:tcPr>
          <w:p>
            <w:pPr>
              <w:jc w:val="center"/>
              <w:ind w:left="1868"/>
              <w:spacing w:after="0"/>
              <w:rPr>
                <w:sz w:val="20"/>
                <w:szCs w:val="20"/>
                <w:color w:val="auto"/>
              </w:rPr>
            </w:pPr>
            <w:r>
              <w:rPr>
                <w:rFonts w:ascii="Arial" w:cs="Arial" w:eastAsia="Arial" w:hAnsi="Arial"/>
                <w:sz w:val="14"/>
                <w:szCs w:val="14"/>
                <w:color w:val="auto"/>
                <w:w w:val="92"/>
              </w:rPr>
              <w:t>(Registrant’s telephone number, including area code)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144780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54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140" w:firstLine="441"/>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jc w:val="both"/>
        <w:ind w:right="180" w:firstLine="441"/>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1" w:lineRule="exact"/>
        <w:rPr>
          <w:sz w:val="24"/>
          <w:szCs w:val="24"/>
          <w:color w:val="auto"/>
        </w:rPr>
      </w:pPr>
    </w:p>
    <w:tbl>
      <w:tblPr>
        <w:tblLayout w:type="fixed"/>
        <w:tblInd w:w="520" w:type="dxa"/>
        <w:tblCellMar>
          <w:top w:w="0" w:type="dxa"/>
          <w:left w:w="0" w:type="dxa"/>
          <w:bottom w:w="0" w:type="dxa"/>
          <w:right w:w="0" w:type="dxa"/>
        </w:tblCellMar>
      </w:tblPr>
      <w:tr>
        <w:trPr>
          <w:trHeight w:val="226"/>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980" w:type="dxa"/>
            <w:vAlign w:val="bottom"/>
          </w:tcPr>
          <w:p>
            <w:pPr>
              <w:ind w:left="2240"/>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5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980" w:type="dxa"/>
            <w:vAlign w:val="bottom"/>
          </w:tcPr>
          <w:p>
            <w:pPr>
              <w:ind w:left="2240"/>
              <w:spacing w:after="0"/>
              <w:rPr>
                <w:sz w:val="20"/>
                <w:szCs w:val="20"/>
                <w:color w:val="auto"/>
              </w:rPr>
            </w:pPr>
            <w:r>
              <w:rPr>
                <w:rFonts w:ascii="Arial" w:cs="Arial" w:eastAsia="Arial" w:hAnsi="Arial"/>
                <w:sz w:val="14"/>
                <w:szCs w:val="14"/>
                <w:color w:val="auto"/>
                <w:w w:val="97"/>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980" w:type="dxa"/>
            <w:vAlign w:val="bottom"/>
          </w:tcPr>
          <w:p>
            <w:pPr>
              <w:ind w:left="2240"/>
              <w:spacing w:after="0"/>
              <w:rPr>
                <w:sz w:val="20"/>
                <w:szCs w:val="20"/>
                <w:color w:val="auto"/>
              </w:rPr>
            </w:pPr>
            <w:r>
              <w:rPr>
                <w:rFonts w:ascii="Arial" w:cs="Arial" w:eastAsia="Arial" w:hAnsi="Arial"/>
                <w:sz w:val="14"/>
                <w:szCs w:val="14"/>
                <w:color w:val="auto"/>
                <w:w w:val="99"/>
              </w:rPr>
              <w:t>Emerging Growth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2" w:lineRule="exact"/>
        <w:rPr>
          <w:sz w:val="24"/>
          <w:szCs w:val="24"/>
          <w:color w:val="auto"/>
        </w:rPr>
      </w:pPr>
    </w:p>
    <w:p>
      <w:pPr>
        <w:ind w:right="440" w:firstLine="44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firstLine="441"/>
        <w:spacing w:after="0" w:line="25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52,798,602 shares of Common Stock, $0.001 par value per share, as of October 26,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1905</wp:posOffset>
            </wp:positionV>
            <wp:extent cx="6612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654050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233" w:right="79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85"/>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6"/>
          </w:tcPr>
          <w:p>
            <w:pPr>
              <w:jc w:val="center"/>
              <w:ind w:right="300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4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ITEM 1. FINANCIAL STATEMENTS</w:t>
              </w:r>
            </w:hyperlink>
          </w:p>
        </w:tc>
        <w:tc>
          <w:tcPr>
            <w:tcW w:w="5780" w:type="dxa"/>
            <w:vAlign w:val="bottom"/>
            <w:gridSpan w:val="15"/>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2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Balance Sheets</w:t>
              </w:r>
            </w:hyperlink>
          </w:p>
        </w:tc>
        <w:tc>
          <w:tcPr>
            <w:tcW w:w="5700" w:type="dxa"/>
            <w:vAlign w:val="bottom"/>
            <w:gridSpan w:val="1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56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Operations and Comprehensive Income</w:t>
              </w:r>
            </w:hyperlink>
          </w:p>
        </w:tc>
        <w:tc>
          <w:tcPr>
            <w:tcW w:w="292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 of Changes in Stockholders’ Equity</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120" w:type="dxa"/>
            <w:vAlign w:val="bottom"/>
            <w:tcBorders>
              <w:top w:val="single" w:sz="8" w:color="0000EE"/>
            </w:tcBorders>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w:t>
              </w:r>
            </w:hyperlink>
          </w:p>
        </w:tc>
        <w:tc>
          <w:tcPr>
            <w:tcW w:w="348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42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the Unaudited Consolidated Financial Statements</w:t>
              </w:r>
            </w:hyperlink>
          </w:p>
        </w:tc>
        <w:tc>
          <w:tcPr>
            <w:tcW w:w="438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w:t>
              </w:r>
            </w:hyperlink>
          </w:p>
        </w:tc>
        <w:tc>
          <w:tcPr>
            <w:tcW w:w="460" w:type="dxa"/>
            <w:vAlign w:val="bottom"/>
          </w:tcPr>
          <w:p>
            <w:pPr>
              <w:spacing w:after="0"/>
              <w:rPr>
                <w:sz w:val="24"/>
                <w:szCs w:val="24"/>
                <w:color w:val="auto"/>
              </w:rPr>
            </w:pPr>
          </w:p>
        </w:tc>
      </w:tr>
      <w:tr>
        <w:trPr>
          <w:trHeight w:val="196"/>
        </w:trPr>
        <w:tc>
          <w:tcPr>
            <w:tcW w:w="1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23">
              <w:r>
                <w:rPr>
                  <w:rFonts w:ascii="Arial" w:cs="Arial" w:eastAsia="Arial" w:hAnsi="Arial"/>
                  <w:sz w:val="18"/>
                  <w:szCs w:val="18"/>
                  <w:color w:val="0000EE"/>
                  <w:w w:val="91"/>
                </w:rPr>
                <w:t>OF OPERATIONS</w:t>
              </w:r>
            </w:hyperlink>
          </w:p>
        </w:tc>
        <w:tc>
          <w:tcPr>
            <w:tcW w:w="6780" w:type="dxa"/>
            <w:vAlign w:val="bottom"/>
            <w:tcBorders>
              <w:top w:val="single" w:sz="8" w:color="0000EE"/>
            </w:tcBorders>
            <w:gridSpan w:val="20"/>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 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6800" w:type="dxa"/>
            <w:vAlign w:val="bottom"/>
            <w:tcBorders>
              <w:top w:val="single" w:sz="8" w:color="0000EE"/>
            </w:tcBorders>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 CONTROLS AND PROCEDURES</w:t>
              </w:r>
            </w:hyperlink>
          </w:p>
        </w:tc>
        <w:tc>
          <w:tcPr>
            <w:tcW w:w="180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Borders>
              <w:bottom w:val="single" w:sz="8" w:color="0000EE"/>
            </w:tcBorders>
            <w:gridSpan w:val="8"/>
          </w:tcPr>
          <w:p>
            <w:pPr>
              <w:jc w:val="center"/>
              <w:spacing w:after="0"/>
              <w:rPr>
                <w:rFonts w:ascii="Arial" w:cs="Arial" w:eastAsia="Arial" w:hAnsi="Arial"/>
                <w:sz w:val="18"/>
                <w:szCs w:val="18"/>
                <w:color w:val="0000EE"/>
                <w:w w:val="96"/>
              </w:rPr>
            </w:pPr>
            <w:hyperlink w:anchor="page37">
              <w:r>
                <w:rPr>
                  <w:rFonts w:ascii="Arial" w:cs="Arial" w:eastAsia="Arial" w:hAnsi="Arial"/>
                  <w:sz w:val="18"/>
                  <w:szCs w:val="18"/>
                  <w:color w:val="0000EE"/>
                  <w:w w:val="96"/>
                </w:rPr>
                <w:t>PART II. OTHER INFORMATION</w:t>
              </w:r>
            </w:hyperlink>
          </w:p>
        </w:tc>
        <w:tc>
          <w:tcPr>
            <w:tcW w:w="3140" w:type="dxa"/>
            <w:vAlign w:val="bottom"/>
            <w:gridSpan w:val="6"/>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 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2"/>
        </w:trPr>
        <w:tc>
          <w:tcPr>
            <w:tcW w:w="2540" w:type="dxa"/>
            <w:vAlign w:val="bottom"/>
            <w:tcBorders>
              <w:top w:val="single" w:sz="8" w:color="0000EE"/>
            </w:tcBorders>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1A. RISK FACTORS</w:t>
              </w:r>
            </w:hyperlink>
          </w:p>
        </w:tc>
        <w:tc>
          <w:tcPr>
            <w:tcW w:w="6060" w:type="dxa"/>
            <w:vAlign w:val="bottom"/>
            <w:gridSpan w:val="1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740" w:type="dxa"/>
            <w:vAlign w:val="bottom"/>
            <w:tcBorders>
              <w:bottom w:val="single" w:sz="8" w:color="0000EE"/>
            </w:tcBorders>
            <w:gridSpan w:val="20"/>
          </w:tcPr>
          <w:p>
            <w:pPr>
              <w:spacing w:after="0"/>
              <w:rPr>
                <w:rFonts w:ascii="Arial" w:cs="Arial" w:eastAsia="Arial" w:hAnsi="Arial"/>
                <w:sz w:val="18"/>
                <w:szCs w:val="18"/>
                <w:color w:val="0000EE"/>
                <w:w w:val="94"/>
              </w:rPr>
            </w:pPr>
            <w:hyperlink w:anchor="page55">
              <w:r>
                <w:rPr>
                  <w:rFonts w:ascii="Arial" w:cs="Arial" w:eastAsia="Arial" w:hAnsi="Arial"/>
                  <w:sz w:val="18"/>
                  <w:szCs w:val="18"/>
                  <w:color w:val="0000EE"/>
                  <w:w w:val="94"/>
                </w:rPr>
                <w:t>ITEM 2. UNREGISTERED SALES OF EQUITY SECURITIES AND USE OF PROCEEDS</w:t>
              </w:r>
            </w:hyperlink>
          </w:p>
        </w:tc>
        <w:tc>
          <w:tcPr>
            <w:tcW w:w="1860" w:type="dxa"/>
            <w:vAlign w:val="bottom"/>
            <w:gridSpan w:val="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412"/>
        </w:trPr>
        <w:tc>
          <w:tcPr>
            <w:tcW w:w="386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ITEM 3. DEFAULTS UPON SENIOR SECURITIES</w:t>
              </w:r>
            </w:hyperlink>
          </w:p>
        </w:tc>
        <w:tc>
          <w:tcPr>
            <w:tcW w:w="474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4. 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2"/>
        </w:trPr>
        <w:tc>
          <w:tcPr>
            <w:tcW w:w="2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ITEM 5. OTHER INFORMATION</w:t>
              </w:r>
            </w:hyperlink>
          </w:p>
        </w:tc>
        <w:tc>
          <w:tcPr>
            <w:tcW w:w="540" w:type="dxa"/>
            <w:vAlign w:val="bottom"/>
            <w:tcBorders>
              <w:top w:val="single" w:sz="8" w:color="0000EE"/>
            </w:tcBorders>
            <w:gridSpan w:val="5"/>
          </w:tcPr>
          <w:p>
            <w:pPr>
              <w:spacing w:after="0"/>
              <w:rPr>
                <w:sz w:val="24"/>
                <w:szCs w:val="24"/>
                <w:color w:val="auto"/>
              </w:rPr>
            </w:pPr>
          </w:p>
        </w:tc>
        <w:tc>
          <w:tcPr>
            <w:tcW w:w="550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6. 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12"/>
        </w:trPr>
        <w:tc>
          <w:tcPr>
            <w:tcW w:w="1480" w:type="dxa"/>
            <w:vAlign w:val="bottom"/>
            <w:tcBorders>
              <w:top w:val="single" w:sz="8" w:color="0000EE"/>
            </w:tcBorders>
            <w:gridSpan w:val="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7120" w:type="dxa"/>
            <w:vAlign w:val="bottom"/>
            <w:gridSpan w:val="2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682"/>
        </w:trPr>
        <w:tc>
          <w:tcPr>
            <w:tcW w:w="1100" w:type="dxa"/>
            <w:vAlign w:val="bottom"/>
            <w:tcBorders>
              <w:top w:val="single" w:sz="8" w:color="0000EE"/>
            </w:tcBorders>
          </w:tcPr>
          <w:p>
            <w:pPr>
              <w:spacing w:after="0"/>
              <w:rPr>
                <w:sz w:val="24"/>
                <w:szCs w:val="24"/>
                <w:color w:val="auto"/>
              </w:rPr>
            </w:pPr>
          </w:p>
        </w:tc>
        <w:tc>
          <w:tcPr>
            <w:tcW w:w="4020" w:type="dxa"/>
            <w:vAlign w:val="bottom"/>
            <w:gridSpan w:val="15"/>
          </w:tcPr>
          <w:p>
            <w:pPr>
              <w:jc w:val="right"/>
              <w:ind w:right="5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 I</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FINANCIAL INFORMATION</w:t>
      </w:r>
    </w:p>
    <w:p>
      <w:pPr>
        <w:spacing w:after="0" w:line="132"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PAYLOCITY HOLDING CORPORATION</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per share data)</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51"/>
              <w:spacing w:after="0"/>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Corporate investments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Deferred contract costs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 before funds held for clients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Funds held for clients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1,225,614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1,168,156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1,378,240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1,286,470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62,029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Long-term prepaid expenses and other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1,507,599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1,464,103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35,678</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Total current liabilities before client fund obligations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Client fund obligations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1,225,614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1,168,156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1,270,845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1,207,393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1,294,775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1,231,477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Preferred stock, $0.001 par value, 5,000 authorized, no shares issued and outstanding at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2018 and September 30, 2018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200"/>
              <w:spacing w:after="0" w:line="201" w:lineRule="exact"/>
              <w:rPr>
                <w:sz w:val="20"/>
                <w:szCs w:val="20"/>
                <w:color w:val="auto"/>
              </w:rPr>
            </w:pPr>
            <w:r>
              <w:rPr>
                <w:rFonts w:ascii="Arial" w:cs="Arial" w:eastAsia="Arial" w:hAnsi="Arial"/>
                <w:sz w:val="18"/>
                <w:szCs w:val="18"/>
                <w:color w:val="auto"/>
                <w:w w:val="98"/>
              </w:rPr>
              <w:t>Common stock, $0.001 par value, 155,000 shares authorized at June 30, 2018 and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w w:val="91"/>
              </w:rPr>
              <w:t>September 30, 2018; 52,758 shares issued and outstanding at June 30, 2018 and 52,796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shares issued and outstanding at September 30, 2018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212,824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232,626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1,507,599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1,464,103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PAYLOCITY HOLDING CORPORATION Unaudited Consolidated Statements of Operations and Comprehensive Income (in thousands, except per share data)</w:t>
      </w:r>
    </w:p>
    <w:p>
      <w:pPr>
        <w:spacing w:after="0" w:line="185"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Three Months Ended</w:t>
      </w:r>
    </w:p>
    <w:p>
      <w:pPr>
        <w:ind w:left="76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44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Recurring fees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77,294</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95,761</w:t>
            </w:r>
          </w:p>
        </w:tc>
        <w:tc>
          <w:tcPr>
            <w:tcW w:w="60" w:type="dxa"/>
            <w:vAlign w:val="bottom"/>
          </w:tcPr>
          <w:p>
            <w:pPr>
              <w:spacing w:after="0"/>
              <w:rPr>
                <w:sz w:val="18"/>
                <w:szCs w:val="18"/>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60" w:type="dxa"/>
            <w:vAlign w:val="bottom"/>
            <w:shd w:val="clear" w:color="auto" w:fill="CCEEFF"/>
          </w:tcPr>
          <w:p>
            <w:pPr>
              <w:spacing w:after="0"/>
              <w:rPr>
                <w:sz w:val="18"/>
                <w:szCs w:val="18"/>
                <w:color w:val="auto"/>
              </w:rPr>
            </w:pPr>
          </w:p>
        </w:tc>
      </w:tr>
      <w:tr>
        <w:trPr>
          <w:trHeight w:val="210"/>
        </w:trPr>
        <w:tc>
          <w:tcPr>
            <w:tcW w:w="5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99,263</w:t>
            </w:r>
          </w:p>
        </w:tc>
        <w:tc>
          <w:tcPr>
            <w:tcW w:w="60" w:type="dxa"/>
            <w:vAlign w:val="bottom"/>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1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60" w:type="dxa"/>
            <w:vAlign w:val="bottom"/>
            <w:tcBorders>
              <w:bottom w:val="single" w:sz="8" w:color="CCEEFF"/>
            </w:tcBorders>
          </w:tcPr>
          <w:p>
            <w:pPr>
              <w:spacing w:after="0"/>
              <w:rPr>
                <w:sz w:val="18"/>
                <w:szCs w:val="18"/>
                <w:color w:val="auto"/>
              </w:rPr>
            </w:pPr>
          </w:p>
        </w:tc>
      </w:tr>
      <w:tr>
        <w:trPr>
          <w:trHeight w:val="210"/>
        </w:trPr>
        <w:tc>
          <w:tcPr>
            <w:tcW w:w="5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1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100,504</w:t>
            </w:r>
          </w:p>
        </w:tc>
        <w:tc>
          <w:tcPr>
            <w:tcW w:w="60" w:type="dxa"/>
            <w:vAlign w:val="bottom"/>
            <w:tcBorders>
              <w:bottom w:val="single" w:sz="8" w:color="CCEEFF"/>
            </w:tcBorders>
          </w:tcPr>
          <w:p>
            <w:pPr>
              <w:spacing w:after="0"/>
              <w:rPr>
                <w:sz w:val="18"/>
                <w:szCs w:val="18"/>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Recurring revenues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29,231</w:t>
            </w:r>
          </w:p>
        </w:tc>
        <w:tc>
          <w:tcPr>
            <w:tcW w:w="60" w:type="dxa"/>
            <w:vAlign w:val="bottom"/>
          </w:tcPr>
          <w:p>
            <w:pPr>
              <w:spacing w:after="0"/>
              <w:rPr>
                <w:sz w:val="18"/>
                <w:szCs w:val="18"/>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Implementation services and other</w:t>
            </w:r>
          </w:p>
        </w:tc>
        <w:tc>
          <w:tcPr>
            <w:tcW w:w="1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6,711</w:t>
            </w:r>
          </w:p>
        </w:tc>
        <w:tc>
          <w:tcPr>
            <w:tcW w:w="60" w:type="dxa"/>
            <w:vAlign w:val="bottom"/>
            <w:shd w:val="clear" w:color="auto" w:fill="CCEEFF"/>
          </w:tcPr>
          <w:p>
            <w:pPr>
              <w:spacing w:after="0"/>
              <w:rPr>
                <w:sz w:val="18"/>
                <w:szCs w:val="18"/>
                <w:color w:val="auto"/>
              </w:rPr>
            </w:pPr>
          </w:p>
        </w:tc>
      </w:tr>
      <w:tr>
        <w:trPr>
          <w:trHeight w:val="210"/>
        </w:trPr>
        <w:tc>
          <w:tcPr>
            <w:tcW w:w="5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35,942</w:t>
            </w:r>
          </w:p>
        </w:tc>
        <w:tc>
          <w:tcPr>
            <w:tcW w:w="60" w:type="dxa"/>
            <w:vAlign w:val="bottom"/>
            <w:shd w:val="clear" w:color="auto" w:fill="CCEEFF"/>
          </w:tcPr>
          <w:p>
            <w:pPr>
              <w:spacing w:after="0"/>
              <w:rPr>
                <w:sz w:val="18"/>
                <w:szCs w:val="18"/>
                <w:color w:val="auto"/>
              </w:rPr>
            </w:pPr>
          </w:p>
        </w:tc>
      </w:tr>
      <w:tr>
        <w:trPr>
          <w:trHeight w:val="21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64,562</w:t>
            </w:r>
          </w:p>
        </w:tc>
        <w:tc>
          <w:tcPr>
            <w:tcW w:w="60" w:type="dxa"/>
            <w:vAlign w:val="bottom"/>
            <w:tcBorders>
              <w:bottom w:val="single" w:sz="8" w:color="CCEEFF"/>
            </w:tcBorders>
          </w:tcPr>
          <w:p>
            <w:pPr>
              <w:spacing w:after="0"/>
              <w:rPr>
                <w:sz w:val="18"/>
                <w:szCs w:val="18"/>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26,418</w:t>
            </w:r>
          </w:p>
        </w:tc>
        <w:tc>
          <w:tcPr>
            <w:tcW w:w="60" w:type="dxa"/>
            <w:vAlign w:val="bottom"/>
          </w:tcPr>
          <w:p>
            <w:pPr>
              <w:spacing w:after="0"/>
              <w:rPr>
                <w:sz w:val="18"/>
                <w:szCs w:val="18"/>
                <w:color w:val="auto"/>
              </w:rPr>
            </w:pPr>
          </w:p>
        </w:tc>
      </w:tr>
      <w:tr>
        <w:trPr>
          <w:trHeight w:val="216"/>
        </w:trPr>
        <w:tc>
          <w:tcPr>
            <w:tcW w:w="5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60" w:type="dxa"/>
            <w:vAlign w:val="bottom"/>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22,968</w:t>
            </w:r>
          </w:p>
        </w:tc>
        <w:tc>
          <w:tcPr>
            <w:tcW w:w="60" w:type="dxa"/>
            <w:vAlign w:val="bottom"/>
            <w:tcBorders>
              <w:bottom w:val="single" w:sz="8" w:color="CCEEFF"/>
            </w:tcBorders>
          </w:tcPr>
          <w:p>
            <w:pPr>
              <w:spacing w:after="0"/>
              <w:rPr>
                <w:sz w:val="18"/>
                <w:szCs w:val="18"/>
                <w:color w:val="auto"/>
              </w:rPr>
            </w:pPr>
          </w:p>
        </w:tc>
      </w:tr>
      <w:tr>
        <w:trPr>
          <w:trHeight w:val="210"/>
        </w:trPr>
        <w:tc>
          <w:tcPr>
            <w:tcW w:w="5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60,786</w:t>
            </w:r>
          </w:p>
        </w:tc>
        <w:tc>
          <w:tcPr>
            <w:tcW w:w="60" w:type="dxa"/>
            <w:vAlign w:val="bottom"/>
            <w:tcBorders>
              <w:bottom w:val="single" w:sz="8" w:color="CCEEFF"/>
            </w:tcBorders>
          </w:tcPr>
          <w:p>
            <w:pPr>
              <w:spacing w:after="0"/>
              <w:rPr>
                <w:sz w:val="18"/>
                <w:szCs w:val="18"/>
                <w:color w:val="auto"/>
              </w:rPr>
            </w:pPr>
          </w:p>
        </w:tc>
      </w:tr>
      <w:tr>
        <w:trPr>
          <w:trHeight w:val="210"/>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w:t>
            </w:r>
          </w:p>
        </w:tc>
        <w:tc>
          <w:tcPr>
            <w:tcW w:w="60" w:type="dxa"/>
            <w:vAlign w:val="bottom"/>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1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60" w:type="dxa"/>
            <w:vAlign w:val="bottom"/>
            <w:tcBorders>
              <w:bottom w:val="single" w:sz="8" w:color="CCEEFF"/>
            </w:tcBorders>
          </w:tcPr>
          <w:p>
            <w:pPr>
              <w:spacing w:after="0"/>
              <w:rPr>
                <w:sz w:val="18"/>
                <w:szCs w:val="18"/>
                <w:color w:val="auto"/>
              </w:rPr>
            </w:pPr>
          </w:p>
        </w:tc>
      </w:tr>
      <w:tr>
        <w:trPr>
          <w:trHeight w:val="210"/>
        </w:trPr>
        <w:tc>
          <w:tcPr>
            <w:tcW w:w="5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4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(5,807)</w:t>
            </w:r>
          </w:p>
        </w:tc>
      </w:tr>
      <w:tr>
        <w:trPr>
          <w:trHeight w:val="210"/>
        </w:trPr>
        <w:tc>
          <w:tcPr>
            <w:tcW w:w="5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60" w:type="dxa"/>
            <w:vAlign w:val="bottom"/>
            <w:shd w:val="clear" w:color="auto" w:fill="CCEEFF"/>
          </w:tcPr>
          <w:p>
            <w:pPr>
              <w:spacing w:after="0"/>
              <w:rPr>
                <w:sz w:val="19"/>
                <w:szCs w:val="19"/>
                <w:color w:val="auto"/>
              </w:rPr>
            </w:pPr>
          </w:p>
        </w:tc>
      </w:tr>
      <w:tr>
        <w:trPr>
          <w:trHeight w:val="216"/>
        </w:trPr>
        <w:tc>
          <w:tcPr>
            <w:tcW w:w="544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40" w:type="dxa"/>
            <w:vAlign w:val="bottom"/>
          </w:tcPr>
          <w:p>
            <w:pPr>
              <w:ind w:left="220"/>
              <w:spacing w:after="0"/>
              <w:rPr>
                <w:sz w:val="20"/>
                <w:szCs w:val="20"/>
                <w:color w:val="auto"/>
              </w:rPr>
            </w:pPr>
            <w:r>
              <w:rPr>
                <w:rFonts w:ascii="Arial" w:cs="Arial" w:eastAsia="Arial" w:hAnsi="Arial"/>
                <w:sz w:val="18"/>
                <w:szCs w:val="18"/>
                <w:color w:val="auto"/>
              </w:rPr>
              <w:t>Unrealized gains (losses) on securities, net of tax</w:t>
            </w: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16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7"/>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16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60" w:type="dxa"/>
            <w:vAlign w:val="bottom"/>
            <w:tcBorders>
              <w:bottom w:val="single" w:sz="8" w:color="CCEEFF"/>
            </w:tcBorders>
          </w:tcPr>
          <w:p>
            <w:pPr>
              <w:spacing w:after="0"/>
              <w:rPr>
                <w:sz w:val="18"/>
                <w:szCs w:val="18"/>
                <w:color w:val="auto"/>
              </w:rPr>
            </w:pPr>
          </w:p>
        </w:tc>
      </w:tr>
      <w:tr>
        <w:trPr>
          <w:trHeight w:val="216"/>
        </w:trPr>
        <w:tc>
          <w:tcPr>
            <w:tcW w:w="5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Basic</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0.19</w:t>
            </w:r>
          </w:p>
        </w:tc>
        <w:tc>
          <w:tcPr>
            <w:tcW w:w="60" w:type="dxa"/>
            <w:vAlign w:val="bottom"/>
          </w:tcPr>
          <w:p>
            <w:pPr>
              <w:spacing w:after="0"/>
              <w:rPr>
                <w:sz w:val="19"/>
                <w:szCs w:val="19"/>
                <w:color w:val="auto"/>
              </w:rPr>
            </w:pPr>
          </w:p>
        </w:tc>
      </w:tr>
      <w:tr>
        <w:trPr>
          <w:trHeight w:val="223"/>
        </w:trPr>
        <w:tc>
          <w:tcPr>
            <w:tcW w:w="54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6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4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color w:val="auto"/>
        </w:rPr>
        <w:t>Weighted-average shares used in computing net income per share: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51,893</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52,865</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0"/>
        </w:trPr>
        <w:tc>
          <w:tcPr>
            <w:tcW w:w="7120" w:type="dxa"/>
            <w:vAlign w:val="bottom"/>
          </w:tcPr>
          <w:p>
            <w:pPr>
              <w:ind w:left="220"/>
              <w:spacing w:after="0" w:line="203" w:lineRule="exact"/>
              <w:rPr>
                <w:sz w:val="20"/>
                <w:szCs w:val="20"/>
                <w:color w:val="auto"/>
              </w:rPr>
            </w:pPr>
            <w:r>
              <w:rPr>
                <w:rFonts w:ascii="Arial" w:cs="Arial" w:eastAsia="Arial" w:hAnsi="Arial"/>
                <w:sz w:val="18"/>
                <w:szCs w:val="18"/>
                <w:color w:val="auto"/>
              </w:rPr>
              <w:t>Diluted</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54,610</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55,487</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PAYLOCITY HOLDING CORPORATION Unaudited Consolidated Statement of Changes in Stockholders’ Equity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1"/>
              </w:rPr>
              <w:t>Stockholders’ Equity</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Retained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Accumulated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420" w:type="dxa"/>
            <w:vAlign w:val="bottom"/>
            <w:gridSpan w:val="6"/>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420" w:type="dxa"/>
            <w:vAlign w:val="bottom"/>
            <w:gridSpan w:val="6"/>
            <w:vMerge w:val="continue"/>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(Accumulated</w:t>
            </w:r>
          </w:p>
        </w:tc>
        <w:tc>
          <w:tcPr>
            <w:tcW w:w="4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7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86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6"/>
              </w:rPr>
              <w:t>Deficit)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2018</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52,758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$ 219,588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212,824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Cumulative effect of change in accounting</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20"/>
              <w:spacing w:after="0"/>
              <w:rPr>
                <w:sz w:val="20"/>
                <w:szCs w:val="20"/>
                <w:color w:val="auto"/>
              </w:rPr>
            </w:pPr>
            <w:r>
              <w:rPr>
                <w:rFonts w:ascii="Arial" w:cs="Arial" w:eastAsia="Arial" w:hAnsi="Arial"/>
                <w:sz w:val="18"/>
                <w:szCs w:val="18"/>
                <w:color w:val="auto"/>
              </w:rPr>
              <w:t>policy (adoption of Topic 606)</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52,672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52,672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620" w:type="dxa"/>
            <w:vAlign w:val="bottom"/>
          </w:tcPr>
          <w:p>
            <w:pPr>
              <w:jc w:val="right"/>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upon vesting of</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units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Net settlement for taxes and/or exercise</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20"/>
              <w:spacing w:after="0"/>
              <w:rPr>
                <w:sz w:val="20"/>
                <w:szCs w:val="20"/>
                <w:color w:val="auto"/>
              </w:rPr>
            </w:pPr>
            <w:r>
              <w:rPr>
                <w:rFonts w:ascii="Arial" w:cs="Arial" w:eastAsia="Arial" w:hAnsi="Arial"/>
                <w:sz w:val="18"/>
                <w:szCs w:val="18"/>
                <w:color w:val="auto"/>
              </w:rPr>
              <w:t>price related to equity awards</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(20,037)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(20,037)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shares</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(34,991)</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Unrealized gains on securities, net of tax</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60" w:type="dxa"/>
            <w:vAlign w:val="bottom"/>
          </w:tcPr>
          <w:p>
            <w:pPr>
              <w:spacing w:after="0"/>
              <w:rPr>
                <w:sz w:val="20"/>
                <w:szCs w:val="20"/>
                <w:color w:val="auto"/>
              </w:rPr>
            </w:pPr>
            <w:r>
              <w:rPr>
                <w:rFonts w:ascii="Arial" w:cs="Arial" w:eastAsia="Arial" w:hAnsi="Arial"/>
                <w:sz w:val="18"/>
                <w:szCs w:val="18"/>
                <w:b w:val="1"/>
                <w:bCs w:val="1"/>
                <w:color w:val="auto"/>
              </w:rPr>
              <w:t>Balances at September 30, 2018</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52,796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$ 176,851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55,846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232,626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Three Months Ended</w:t>
      </w:r>
    </w:p>
    <w:p>
      <w:pPr>
        <w:ind w:left="76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8,232</w:t>
            </w: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expense (benefit)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(5,809)</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3"/>
              </w:rPr>
              <w:t>Net accretion of discounts and amortization of premiums on available-for-sale securities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r>
      <w:tr>
        <w:trPr>
          <w:trHeight w:val="216"/>
        </w:trPr>
        <w:tc>
          <w:tcPr>
            <w:tcW w:w="6880" w:type="dxa"/>
            <w:vAlign w:val="bottom"/>
          </w:tcPr>
          <w:p>
            <w:pPr>
              <w:ind w:left="320"/>
              <w:spacing w:after="0"/>
              <w:rPr>
                <w:sz w:val="20"/>
                <w:szCs w:val="20"/>
                <w:color w:val="auto"/>
              </w:rPr>
            </w:pPr>
            <w:r>
              <w:rPr>
                <w:rFonts w:ascii="Arial" w:cs="Arial" w:eastAsia="Arial" w:hAnsi="Arial"/>
                <w:sz w:val="18"/>
                <w:szCs w:val="18"/>
                <w:color w:val="auto"/>
              </w:rPr>
              <w:t>Loss on disposal of equipment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431</w:t>
            </w: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contract costs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(7,169)</w:t>
            </w: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Prepaid expenses and other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(853)</w:t>
            </w: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r>
      <w:tr>
        <w:trPr>
          <w:trHeight w:val="216"/>
        </w:trPr>
        <w:tc>
          <w:tcPr>
            <w:tcW w:w="688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(6,304)</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(6,214)</w:t>
            </w:r>
          </w:p>
        </w:tc>
      </w:tr>
      <w:tr>
        <w:trPr>
          <w:trHeight w:val="216"/>
        </w:trPr>
        <w:tc>
          <w:tcPr>
            <w:tcW w:w="6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Tenant improvement allowance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880" w:type="dxa"/>
            <w:vAlign w:val="bottom"/>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7,344</w:t>
            </w: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available-for-sale securities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(58,844)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(75,804)</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56,446</w:t>
            </w: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funds held for clients' cash and cash equivalents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59,001</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55,844</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Capitalized internal-use software costs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(3,751)</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(5,001)</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(2,428)</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Lease allowances used for tenant improvements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(1,466)</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88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Net change in client fund obligations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(57,458)</w:t>
            </w: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Repurchases of common shares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(34,679)</w:t>
            </w: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4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paid related to net share settlement of equity awards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(17,880)</w:t>
            </w:r>
          </w:p>
        </w:tc>
      </w:tr>
      <w:tr>
        <w:trPr>
          <w:trHeight w:val="210"/>
        </w:trPr>
        <w:tc>
          <w:tcPr>
            <w:tcW w:w="68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(6,940)</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(109,932)</w:t>
            </w:r>
          </w:p>
        </w:tc>
        <w:tc>
          <w:tcPr>
            <w:tcW w:w="40" w:type="dxa"/>
            <w:vAlign w:val="bottom"/>
            <w:tcBorders>
              <w:bottom w:val="single" w:sz="8" w:color="CCEEFF"/>
            </w:tcBorders>
          </w:tcPr>
          <w:p>
            <w:pPr>
              <w:spacing w:after="0"/>
              <w:rPr>
                <w:sz w:val="18"/>
                <w:szCs w:val="18"/>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(73,531)</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Equivalents—Beginning of Period</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103,468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137,193</w:t>
            </w:r>
          </w:p>
        </w:tc>
        <w:tc>
          <w:tcPr>
            <w:tcW w:w="40" w:type="dxa"/>
            <w:vAlign w:val="bottom"/>
            <w:tcBorders>
              <w:bottom w:val="single" w:sz="8" w:color="CCEEFF"/>
            </w:tcBorders>
          </w:tcPr>
          <w:p>
            <w:pPr>
              <w:spacing w:after="0"/>
              <w:rPr>
                <w:sz w:val="18"/>
                <w:szCs w:val="18"/>
                <w:color w:val="auto"/>
              </w:rPr>
            </w:pPr>
          </w:p>
        </w:tc>
      </w:tr>
      <w:tr>
        <w:trPr>
          <w:trHeight w:val="230"/>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97,399</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63,662</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3"/>
        </w:trPr>
        <w:tc>
          <w:tcPr>
            <w:tcW w:w="6880" w:type="dxa"/>
            <w:vAlign w:val="bottom"/>
          </w:tcPr>
          <w:p>
            <w:pPr>
              <w:spacing w:after="0" w:line="203" w:lineRule="exact"/>
              <w:rPr>
                <w:sz w:val="20"/>
                <w:szCs w:val="20"/>
                <w:color w:val="auto"/>
              </w:rPr>
            </w:pPr>
            <w:r>
              <w:rPr>
                <w:rFonts w:ascii="Arial" w:cs="Arial" w:eastAsia="Arial" w:hAnsi="Arial"/>
                <w:sz w:val="18"/>
                <w:szCs w:val="18"/>
                <w:color w:val="auto"/>
              </w:rPr>
              <w:t>Supplemental Disclosure of Non-Cash Investing and Financing Activities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Purchase of property and equipment and internal-use software, accrued but not paid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2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40" w:type="dxa"/>
            <w:vAlign w:val="bottom"/>
            <w:shd w:val="clear" w:color="auto" w:fill="CCEEFF"/>
          </w:tcPr>
          <w:p>
            <w:pPr>
              <w:spacing w:after="0"/>
              <w:rPr>
                <w:sz w:val="20"/>
                <w:szCs w:val="20"/>
                <w:color w:val="auto"/>
              </w:rPr>
            </w:pPr>
          </w:p>
        </w:tc>
      </w:tr>
      <w:tr>
        <w:trPr>
          <w:trHeight w:val="210"/>
        </w:trPr>
        <w:tc>
          <w:tcPr>
            <w:tcW w:w="6880" w:type="dxa"/>
            <w:vAlign w:val="bottom"/>
            <w:tcBorders>
              <w:top w:val="single" w:sz="8" w:color="CCEEFF"/>
              <w:bottom w:val="single" w:sz="8" w:color="CCEEFF"/>
            </w:tcBorders>
          </w:tcPr>
          <w:p>
            <w:pPr>
              <w:ind w:left="220"/>
              <w:spacing w:after="0" w:line="203" w:lineRule="exact"/>
              <w:rPr>
                <w:sz w:val="20"/>
                <w:szCs w:val="20"/>
                <w:color w:val="auto"/>
              </w:rPr>
            </w:pPr>
            <w:r>
              <w:rPr>
                <w:rFonts w:ascii="Arial" w:cs="Arial" w:eastAsia="Arial" w:hAnsi="Arial"/>
                <w:sz w:val="18"/>
                <w:szCs w:val="18"/>
                <w:color w:val="auto"/>
              </w:rPr>
              <w:t>Repurchases of common shares, accrued but not paid</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313</w:t>
            </w:r>
          </w:p>
        </w:tc>
        <w:tc>
          <w:tcPr>
            <w:tcW w:w="40" w:type="dxa"/>
            <w:vAlign w:val="bottom"/>
            <w:tcBorders>
              <w:top w:val="single" w:sz="8" w:color="CCEEFF"/>
              <w:bottom w:val="single" w:sz="8" w:color="CCEEFF"/>
            </w:tcBorders>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ind w:left="220"/>
              <w:spacing w:after="0"/>
              <w:rPr>
                <w:sz w:val="20"/>
                <w:szCs w:val="20"/>
                <w:color w:val="auto"/>
              </w:rPr>
            </w:pPr>
            <w:r>
              <w:rPr>
                <w:rFonts w:ascii="Arial" w:cs="Arial" w:eastAsia="Arial" w:hAnsi="Arial"/>
                <w:sz w:val="18"/>
                <w:szCs w:val="18"/>
                <w:color w:val="auto"/>
              </w:rPr>
              <w:t>Cash paid for income taxes, net of refunds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351</w:t>
            </w:r>
          </w:p>
        </w:tc>
        <w:tc>
          <w:tcPr>
            <w:tcW w:w="40" w:type="dxa"/>
            <w:vAlign w:val="bottom"/>
          </w:tcPr>
          <w:p>
            <w:pPr>
              <w:spacing w:after="0"/>
              <w:rPr>
                <w:sz w:val="18"/>
                <w:szCs w:val="18"/>
                <w:color w:val="auto"/>
              </w:rPr>
            </w:pPr>
          </w:p>
        </w:tc>
      </w:tr>
      <w:tr>
        <w:trPr>
          <w:trHeight w:val="27"/>
        </w:trPr>
        <w:tc>
          <w:tcPr>
            <w:tcW w:w="6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Paylocity Holding Corporation (the “Company”)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Consolidation and Use of Estimates</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4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78"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Company began investing corporate funds in available-for-sale securities during the first quarter of fiscal 2019 and as a result, reclassified $732 as of June 30, 2018 from prepaid expenses and other on the unaudited consolidated balance sheets to corporate investments for comparability purposes in order to conform to the current year’s presentation.</w:t>
      </w:r>
    </w:p>
    <w:p>
      <w:pPr>
        <w:spacing w:after="0" w:line="147" w:lineRule="exact"/>
        <w:rPr>
          <w:sz w:val="20"/>
          <w:szCs w:val="20"/>
          <w:color w:val="auto"/>
        </w:rPr>
      </w:pPr>
    </w:p>
    <w:p>
      <w:pPr>
        <w:ind w:left="300" w:hanging="297"/>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months ended September 30, 2018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2018 included in the Company’s Annual Report on Form 10-K filed with the SEC on August 10, 2018.</w:t>
      </w:r>
    </w:p>
    <w:p>
      <w:pPr>
        <w:spacing w:after="0" w:line="167" w:lineRule="exact"/>
        <w:rPr>
          <w:sz w:val="20"/>
          <w:szCs w:val="20"/>
          <w:color w:val="auto"/>
        </w:rPr>
      </w:pPr>
    </w:p>
    <w:p>
      <w:pPr>
        <w:ind w:left="240" w:hanging="237"/>
        <w:spacing w:after="0"/>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Company adopted ASU 2014-09, Revenue from Contracts with Customers (“Topic 606”) effective as of July 1, 2018. Topic 606 requires revenue to be recognized when an entity transfers control of goods or services to a customer in an amount that reflects the consideration to which a company expects to be entitled to for those goods or services. To achieve this core principle, the Company recognizes revenue from contracts with customers based on the following five steps:</w:t>
      </w:r>
    </w:p>
    <w:p>
      <w:pPr>
        <w:spacing w:after="0" w:line="154"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Identify the contract with a customer;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3"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Allocate the transaction price to performance obligations in the contract; and</w:t>
      </w:r>
    </w:p>
    <w:p>
      <w:pPr>
        <w:spacing w:after="0" w:line="9" w:lineRule="exact"/>
        <w:rPr>
          <w:rFonts w:ascii="Arial" w:cs="Arial" w:eastAsia="Arial" w:hAnsi="Arial"/>
          <w:sz w:val="18"/>
          <w:szCs w:val="18"/>
          <w:color w:val="auto"/>
        </w:rPr>
      </w:pPr>
    </w:p>
    <w:p>
      <w:pPr>
        <w:ind w:left="980" w:hanging="329"/>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211"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Company derives its revenue from contracts predominantly from recurring and non-recurring service fees. While the majority of its agreements are generally cancellable by the client on 60 days’ notice or less, the Company began entering into term arrangements in fiscal 2018, which are generally two years long. Recurring fees are derived from payroll, timekeeping, and HR-related cloud-based computing services as follows:</w:t>
      </w:r>
    </w:p>
    <w:p>
      <w:pPr>
        <w:spacing w:after="0" w:line="171" w:lineRule="exact"/>
        <w:rPr>
          <w:sz w:val="20"/>
          <w:szCs w:val="20"/>
          <w:color w:val="auto"/>
        </w:rPr>
      </w:pPr>
    </w:p>
    <w:p>
      <w:pPr>
        <w:ind w:left="1300" w:right="20" w:hanging="325"/>
        <w:spacing w:after="0" w:line="286"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Payroll processing and related services, including payroll reporting and tax filing services are delivered on a weekly, biweekly, semi-monthly, or monthly basis depending upon the payroll frequency of the client and on an annual basis if a client selects W-2 preparation and processing services,</w:t>
      </w:r>
    </w:p>
    <w:p>
      <w:pPr>
        <w:spacing w:after="0" w:line="165" w:lineRule="exact"/>
        <w:rPr>
          <w:rFonts w:ascii="Arial" w:cs="Arial" w:eastAsia="Arial" w:hAnsi="Arial"/>
          <w:sz w:val="17"/>
          <w:szCs w:val="17"/>
          <w:color w:val="auto"/>
        </w:rPr>
      </w:pPr>
    </w:p>
    <w:p>
      <w:pPr>
        <w:ind w:left="1300" w:hanging="325"/>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Time and attendance reporting services, including time clock rentals, are delivered on a monthly basis, and</w:t>
      </w:r>
    </w:p>
    <w:p>
      <w:pPr>
        <w:spacing w:after="0" w:line="248" w:lineRule="exact"/>
        <w:rPr>
          <w:rFonts w:ascii="Arial" w:cs="Arial" w:eastAsia="Arial" w:hAnsi="Arial"/>
          <w:sz w:val="16"/>
          <w:szCs w:val="16"/>
          <w:color w:val="auto"/>
        </w:rPr>
      </w:pPr>
    </w:p>
    <w:p>
      <w:pPr>
        <w:ind w:left="1300" w:right="540" w:hanging="325"/>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Cloud-based HR software solutions, including employee administration and benefits enrollment and administration, are delivered on a monthly basis.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 based fees which can include payroll, time and attendance and HR related services, the Company recognizes the applicable recurring fees over time each month with the fee charged and collected based on a per employee per month fee. The Company has certain optional performance obligations that are satisfied at a point in time including the sales of time clocks and W-2 services.</w:t>
      </w:r>
    </w:p>
    <w:p>
      <w:pPr>
        <w:spacing w:after="0" w:line="17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Non-recurring service fees consist mainly of nonrefundable implementation fees, which involve setting the client up in, and loading data into, the Company’s cloud-based applications. These implementation activities are considered set-up activities. The Company has determined that the nonrefundable upfront fees provide certain clients with a material right to renew the contract. Implementation fees are deferred and amortized generally over a period up to 24 months.</w:t>
      </w:r>
    </w:p>
    <w:p>
      <w:pPr>
        <w:spacing w:after="0" w:line="15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Sales taxes collected from clients and remitted to governmental authorities where applicable are accounted for on a net basis and therefore are excluded from revenues in the statements of operations and comprehensive income.</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Interest income collected on funds held for clients is recognized in recurring revenues when earned as the collection, holding and remittance of these funds are components of providing these services.</w:t>
      </w:r>
    </w:p>
    <w:p>
      <w:pPr>
        <w:spacing w:after="0" w:line="170"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The following table, consistent with the presentation of its unaudited consolidated statements of operations and comprehensive income, disaggregates revenue by recurring fees and implementation services and other, which it believes represents the major categories of revenue: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w:t>
            </w:r>
          </w:p>
        </w:tc>
      </w:tr>
      <w:tr>
        <w:trPr>
          <w:trHeight w:val="171"/>
        </w:trPr>
        <w:tc>
          <w:tcPr>
            <w:tcW w:w="3480" w:type="dxa"/>
            <w:vAlign w:val="bottom"/>
            <w:tcBorders>
              <w:bottom w:val="single" w:sz="8" w:color="CCEEFF"/>
            </w:tcBorders>
          </w:tcPr>
          <w:p>
            <w:pPr>
              <w:spacing w:after="0"/>
              <w:rPr>
                <w:sz w:val="14"/>
                <w:szCs w:val="14"/>
                <w:color w:val="auto"/>
              </w:rPr>
            </w:pPr>
          </w:p>
        </w:tc>
        <w:tc>
          <w:tcPr>
            <w:tcW w:w="4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September 30, 2018</w:t>
            </w: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95,761</w:t>
            </w:r>
          </w:p>
        </w:tc>
      </w:tr>
      <w:tr>
        <w:trPr>
          <w:trHeight w:val="230"/>
        </w:trPr>
        <w:tc>
          <w:tcPr>
            <w:tcW w:w="3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Implementation services and other</w:t>
            </w:r>
          </w:p>
        </w:tc>
        <w:tc>
          <w:tcPr>
            <w:tcW w:w="4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r>
      <w:tr>
        <w:trPr>
          <w:trHeight w:val="230"/>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 from contracts</w:t>
            </w:r>
          </w:p>
        </w:tc>
        <w:tc>
          <w:tcPr>
            <w:tcW w:w="4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97,002</w:t>
            </w:r>
          </w:p>
        </w:tc>
      </w:tr>
      <w:tr>
        <w:trPr>
          <w:trHeight w:val="635"/>
        </w:trPr>
        <w:tc>
          <w:tcPr>
            <w:tcW w:w="3480" w:type="dxa"/>
            <w:vAlign w:val="bottom"/>
          </w:tcPr>
          <w:p>
            <w:pPr>
              <w:spacing w:after="0"/>
              <w:rPr>
                <w:sz w:val="24"/>
                <w:szCs w:val="24"/>
                <w:color w:val="auto"/>
              </w:rPr>
            </w:pPr>
          </w:p>
        </w:tc>
        <w:tc>
          <w:tcPr>
            <w:tcW w:w="4120" w:type="dxa"/>
            <w:vAlign w:val="bottom"/>
          </w:tcPr>
          <w:p>
            <w:pPr>
              <w:jc w:val="right"/>
              <w:ind w:right="29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29"/>
        </w:trPr>
        <w:tc>
          <w:tcPr>
            <w:tcW w:w="3480" w:type="dxa"/>
            <w:vAlign w:val="bottom"/>
            <w:tcBorders>
              <w:bottom w:val="single" w:sz="8" w:color="auto"/>
            </w:tcBorders>
          </w:tcPr>
          <w:p>
            <w:pPr>
              <w:spacing w:after="0"/>
              <w:rPr>
                <w:sz w:val="11"/>
                <w:szCs w:val="11"/>
                <w:color w:val="auto"/>
              </w:rPr>
            </w:pPr>
          </w:p>
        </w:tc>
        <w:tc>
          <w:tcPr>
            <w:tcW w:w="4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timing of revenue recognition for recurring revenue is consistent with the timing of invoicing as they occur simultaneously upon the client payroll-processing period or by month. As such, the Company does not recognize contract assets or liabilities related to recurring revenue.</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nonrefundable upfront fees related to implementation services are invoiced with the client’s first payroll period. The Company defers these nonrefundable upfront fees generally over a period up to 24 months based on the type of contract. The following table summarizes the changes in deferred revenue (i.e. contract liability) related to these nonrefundable upfront fees as follows:</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Balance at July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575437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Deferral of revenue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Balance at September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center"/>
        <w:ind w:right="-6"/>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right="-6"/>
        <w:spacing w:after="0"/>
        <w:rPr>
          <w:sz w:val="20"/>
          <w:szCs w:val="20"/>
          <w:color w:val="auto"/>
        </w:rPr>
      </w:pPr>
      <w:r>
        <w:rPr>
          <w:rFonts w:ascii="Arial" w:cs="Arial" w:eastAsia="Arial" w:hAnsi="Arial"/>
          <w:sz w:val="14"/>
          <w:szCs w:val="14"/>
          <w:b w:val="1"/>
          <w:bCs w:val="1"/>
          <w:color w:val="auto"/>
        </w:rPr>
        <w:t>September 30, 2018</w:t>
      </w:r>
    </w:p>
    <w:p>
      <w:pPr>
        <w:spacing w:after="0" w:line="9" w:lineRule="exact"/>
        <w:rPr>
          <w:sz w:val="20"/>
          <w:szCs w:val="20"/>
          <w:color w:val="auto"/>
        </w:rPr>
      </w:pPr>
    </w:p>
    <w:p>
      <w:pPr>
        <w:ind w:left="1247" w:hanging="1247"/>
        <w:spacing w:after="0"/>
        <w:tabs>
          <w:tab w:leader="none" w:pos="1247"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1007"/>
        <w:spacing w:after="0"/>
        <w:rPr>
          <w:rFonts w:ascii="Arial" w:cs="Arial" w:eastAsia="Arial" w:hAnsi="Arial"/>
          <w:sz w:val="18"/>
          <w:szCs w:val="18"/>
          <w:color w:val="auto"/>
        </w:rPr>
      </w:pPr>
      <w:r>
        <w:rPr>
          <w:rFonts w:ascii="Arial" w:cs="Arial" w:eastAsia="Arial" w:hAnsi="Arial"/>
          <w:sz w:val="18"/>
          <w:szCs w:val="18"/>
          <w:color w:val="auto"/>
        </w:rPr>
        <w:t>2,518</w:t>
      </w:r>
    </w:p>
    <w:p>
      <w:pPr>
        <w:spacing w:after="0" w:line="22" w:lineRule="exact"/>
        <w:rPr>
          <w:rFonts w:ascii="Arial" w:cs="Arial" w:eastAsia="Arial" w:hAnsi="Arial"/>
          <w:sz w:val="18"/>
          <w:szCs w:val="18"/>
          <w:color w:val="auto"/>
        </w:rPr>
      </w:pPr>
    </w:p>
    <w:p>
      <w:pPr>
        <w:ind w:left="1087"/>
        <w:spacing w:after="0"/>
        <w:rPr>
          <w:rFonts w:ascii="Arial" w:cs="Arial" w:eastAsia="Arial" w:hAnsi="Arial"/>
          <w:sz w:val="18"/>
          <w:szCs w:val="18"/>
          <w:color w:val="auto"/>
        </w:rPr>
      </w:pPr>
      <w:r>
        <w:rPr>
          <w:rFonts w:ascii="Arial" w:cs="Arial" w:eastAsia="Arial" w:hAnsi="Arial"/>
          <w:sz w:val="16"/>
          <w:szCs w:val="16"/>
          <w:color w:val="auto"/>
        </w:rPr>
        <w:t>(499)</w:t>
      </w:r>
    </w:p>
    <w:p>
      <w:pPr>
        <w:spacing w:after="0" w:line="46" w:lineRule="exact"/>
        <w:rPr>
          <w:sz w:val="20"/>
          <w:szCs w:val="20"/>
          <w:color w:val="auto"/>
        </w:rPr>
      </w:pPr>
    </w:p>
    <w:p>
      <w:pPr>
        <w:ind w:left="1007" w:hanging="1007"/>
        <w:spacing w:after="0"/>
        <w:tabs>
          <w:tab w:leader="none" w:pos="1007" w:val="left"/>
        </w:tabs>
        <w:numPr>
          <w:ilvl w:val="0"/>
          <w:numId w:val="9"/>
        </w:numPr>
        <w:rPr>
          <w:rFonts w:ascii="Arial" w:cs="Arial" w:eastAsia="Arial" w:hAnsi="Arial"/>
          <w:sz w:val="18"/>
          <w:szCs w:val="18"/>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347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47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-130810</wp:posOffset>
            </wp:positionV>
            <wp:extent cx="934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73" w:space="720"/>
            <w:col w:w="1467"/>
          </w:cols>
          <w:pgMar w:left="1420" w:top="125" w:right="1419" w:bottom="1440" w:gutter="0" w:footer="0" w:header="0"/>
          <w:type w:val="continuous"/>
        </w:sectPr>
      </w:pPr>
    </w:p>
    <w:p>
      <w:pPr>
        <w:spacing w:after="0" w:line="5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of $1,382 in fiscal 2019, $504 in fiscal 2020, and $133 thereafter.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defers certain selling and commission costs that meet the capitalization criteria under ASC 340-40, which prior to the adoption of Topic 606 were previously expensed as incurred. The Company also capitalizes certain costs to fulfill a contract related to its proprietary products if they are identifiable, generate or enhance resources used to satisfy future performance obligations and are expected to be recovered under ASC 340-40. As discussed in Note 2(e), the Company determined that implementation services related to its proprietary products are not separate performance obligations for contracts entered into after July 1, 2018.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8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presents the deferred contract costs balances and the related amortization expense for these deferred contract costs: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Ending</w:t>
            </w:r>
          </w:p>
        </w:tc>
      </w:tr>
      <w:tr>
        <w:trPr>
          <w:trHeight w:val="162"/>
        </w:trPr>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Balance</w:t>
            </w:r>
          </w:p>
        </w:tc>
      </w:tr>
      <w:tr>
        <w:trPr>
          <w:trHeight w:val="171"/>
        </w:trPr>
        <w:tc>
          <w:tcPr>
            <w:tcW w:w="4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July 1, 2018</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September 30, 2018</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Costs to obtain a new contract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69,933</w:t>
            </w:r>
          </w:p>
        </w:tc>
      </w:tr>
      <w:tr>
        <w:trPr>
          <w:trHeight w:val="230"/>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w:t>
            </w:r>
          </w:p>
        </w:tc>
      </w:tr>
      <w:tr>
        <w:trPr>
          <w:trHeight w:val="217"/>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68,107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75,276</w:t>
            </w:r>
          </w:p>
        </w:tc>
      </w:tr>
    </w:tbl>
    <w:p>
      <w:pPr>
        <w:spacing w:after="0" w:line="202"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Deferred contract costs are recorded within deferred contract costs and long-term deferred contract costs on the unaudited consolidated balance sheets. Amortization of deferred contracts costs is recorded in implementation services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and other cost of revenue, sales and marketing, and general and administrative in the unaudited consolidated statements of operations and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has applied the practical expedients as allowed under Topic 606 and elects not to disclose the value of unsatisfied performance obligations for contracts that have an original expected duration of one year or less and contracts for which the variable consideration is allocated entirely to wholly unsatisfied performance obligations. The Company’s remaining performance obligations related to minimum monthly fees on its term based contracts was approximately $29,000 as of September 30, 2018, which will be generally recognized over the next 24 months.</w:t>
      </w:r>
    </w:p>
    <w:p>
      <w:pPr>
        <w:spacing w:after="0" w:line="173" w:lineRule="exact"/>
        <w:rPr>
          <w:sz w:val="20"/>
          <w:szCs w:val="20"/>
          <w:color w:val="auto"/>
        </w:rPr>
      </w:pPr>
    </w:p>
    <w:p>
      <w:pPr>
        <w:ind w:left="300" w:hanging="297"/>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193" w:lineRule="exact"/>
        <w:rPr>
          <w:sz w:val="20"/>
          <w:szCs w:val="20"/>
          <w:color w:val="auto"/>
        </w:rPr>
      </w:pPr>
    </w:p>
    <w:p>
      <w:pPr>
        <w:ind w:left="300" w:hanging="297"/>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In May 2014, the FASB issued ASU 2014-09, Revenue from Contracts with Customers (Topic 606). Topic 606 supersedes a majority of existing revenue recognition guidance under GAAP, and requires companies to recognize revenue when it transfers goods or services to a customer in an amount that reflects the consideration to which a company expects to be entitled. The standard also provides guidance on the recognition of costs related to obtaining and fulfilling a contract under Subtopic 340-40, Other Assets and Deferred Costs – Contracts with Customers. The Company adopted the new standard, including subsequent amendments and Subtopic 340-40, effective as of July 1, 2018 using the modified retrospective method of transition, which limited the application of the new standard only to contracts that were not completed as of the effective date. The adoption of Topic 606 did not have a material impact in the timing or amount of revenue recognized. However, it did have a material impact on its unaudited consolidated balance sheet due to the deferral of costs of obtaining and fulfilling a contract as detailed below. The Company has updated its control framework for new internal controls and has updated existing controls relating to the new standard.</w:t>
      </w:r>
    </w:p>
    <w:p>
      <w:pPr>
        <w:spacing w:after="0" w:line="183"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Under the legacy revenue standard through fiscal 2018, the Company accounted for implementation and recurring services each as a separate unit of account. The Company was able to establish standalone value for implementation services as supported by the activity of third-party resellers and other vendors that performed certain implementation services. The Company has observed that third party implementation activity has continued to decrease over time and at the same time, the Company has invested in proprietary applications and processes that impact implementation activities. The Company determined that from July 1, 2018 forward it no longer had a sufficient basis to establish standalone value of implementations for its proprietary products due to the culmination of the changes to the Company’s applications and processes that eliminated the ability of third parties to perform implementation services. Similarly, the Company determined that these implementation services are not a separate performance obligation under Topic 606 for contracts entered into after July 1, 2018 and the associated implementation fees are treated as nonrefundable upfront fees which are deferred and amortized over a period of time instead of recognized upon completion. The Company recognized $2,191, net of deferred taxes, of contract assets for implementation fees related to open contracts as of July 1, 2018 which began when the Company was still able to establish stand-alone value for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implementation activities. This adjustment was recorded through retained earnings (accumulated deficit) in the statement of changes in stockholder’s equity upon adoption on July 1, 2018.</w:t>
      </w:r>
    </w:p>
    <w:p>
      <w:pPr>
        <w:spacing w:after="0" w:line="17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also finalized the treatment of costs of obtaining and fulfilling a new contract under the new standard. The Company is now required to defer these costs and amortize them over the expected period of benefit, which it has determined to be 7 years. The Company recognized the cumulative effect related to the deferral of the costs of obtaining new contracts of $50,481, net of deferred taxes, which was recorded through retained earnings (accumulated deficit) in the statement of changes in stockholder’s equity upon adoption on July 1, 2018.</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cumulative effect of the changes made to the July 1, 2018 balance sheet due to the adoption of Topic 606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color w:val="auto"/>
                <w:w w:val="92"/>
              </w:rPr>
              <w:t>As Reported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w w:val="96"/>
              </w:rPr>
              <w:t>Adjustments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4"/>
              <w:spacing w:after="0"/>
              <w:rPr>
                <w:sz w:val="20"/>
                <w:szCs w:val="20"/>
                <w:color w:val="auto"/>
              </w:rPr>
            </w:pPr>
            <w:r>
              <w:rPr>
                <w:rFonts w:ascii="Arial" w:cs="Arial" w:eastAsia="Arial" w:hAnsi="Arial"/>
                <w:sz w:val="14"/>
                <w:szCs w:val="14"/>
                <w:color w:val="auto"/>
                <w:w w:val="92"/>
              </w:rPr>
              <w:t>Balances at</w:t>
            </w:r>
          </w:p>
        </w:tc>
      </w:tr>
      <w:tr>
        <w:trPr>
          <w:trHeight w:val="167"/>
        </w:trPr>
        <w:tc>
          <w:tcPr>
            <w:tcW w:w="4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w w:val="96"/>
              </w:rPr>
              <w:t>June 30, 2018</w:t>
            </w:r>
          </w:p>
        </w:tc>
        <w:tc>
          <w:tcPr>
            <w:tcW w:w="180" w:type="dxa"/>
            <w:vAlign w:val="bottom"/>
          </w:tcPr>
          <w:p>
            <w:pPr>
              <w:spacing w:after="0"/>
              <w:rPr>
                <w:sz w:val="14"/>
                <w:szCs w:val="14"/>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w w:val="93"/>
              </w:rPr>
              <w:t>due to Topic 606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4"/>
              <w:spacing w:after="0"/>
              <w:rPr>
                <w:sz w:val="20"/>
                <w:szCs w:val="20"/>
                <w:color w:val="auto"/>
              </w:rPr>
            </w:pPr>
            <w:r>
              <w:rPr>
                <w:rFonts w:ascii="Arial" w:cs="Arial" w:eastAsia="Arial" w:hAnsi="Arial"/>
                <w:sz w:val="14"/>
                <w:szCs w:val="14"/>
                <w:color w:val="auto"/>
                <w:w w:val="92"/>
              </w:rPr>
              <w:t>July 1, 2018</w:t>
            </w:r>
          </w:p>
        </w:tc>
      </w:tr>
      <w:tr>
        <w:trPr>
          <w:trHeight w:val="223"/>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14,783</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12,978</w:t>
            </w: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53,324</w:t>
            </w: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Long-term prepaid expenses and other</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2,730</w:t>
            </w: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w:t>
            </w:r>
          </w:p>
        </w:tc>
      </w:tr>
      <w:tr>
        <w:trPr>
          <w:trHeight w:val="230"/>
        </w:trPr>
        <w:tc>
          <w:tcPr>
            <w:tcW w:w="43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45,994</w:t>
            </w:r>
          </w:p>
        </w:tc>
      </w:tr>
    </w:tbl>
    <w:p>
      <w:pPr>
        <w:spacing w:after="0" w:line="202"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following table summarizes the impact from the adoption of Topic 606 on the Company’s unaudited consolidated statement of operations and comprehensive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7"/>
          </w:tcPr>
          <w:p>
            <w:pPr>
              <w:jc w:val="center"/>
              <w:ind w:right="14"/>
              <w:spacing w:after="0"/>
              <w:rPr>
                <w:sz w:val="20"/>
                <w:szCs w:val="20"/>
                <w:color w:val="auto"/>
              </w:rPr>
            </w:pPr>
            <w:r>
              <w:rPr>
                <w:rFonts w:ascii="Arial" w:cs="Arial" w:eastAsia="Arial" w:hAnsi="Arial"/>
                <w:sz w:val="14"/>
                <w:szCs w:val="14"/>
                <w:b w:val="1"/>
                <w:bCs w:val="1"/>
                <w:color w:val="auto"/>
                <w:w w:val="92"/>
              </w:rPr>
              <w:t>Three Months Ended September 30, 2018</w:t>
            </w:r>
          </w:p>
        </w:tc>
      </w:tr>
      <w:tr>
        <w:trPr>
          <w:trHeight w:val="123"/>
        </w:trPr>
        <w:tc>
          <w:tcPr>
            <w:tcW w:w="346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35"/>
              <w:spacing w:after="0" w:line="123" w:lineRule="exact"/>
              <w:rPr>
                <w:sz w:val="20"/>
                <w:szCs w:val="20"/>
                <w:color w:val="auto"/>
              </w:rPr>
            </w:pPr>
            <w:r>
              <w:rPr>
                <w:rFonts w:ascii="Arial" w:cs="Arial" w:eastAsia="Arial" w:hAnsi="Arial"/>
                <w:sz w:val="14"/>
                <w:szCs w:val="14"/>
                <w:color w:val="auto"/>
                <w:w w:val="92"/>
              </w:rPr>
              <w:t>As Reported</w:t>
            </w:r>
          </w:p>
        </w:tc>
        <w:tc>
          <w:tcPr>
            <w:tcW w:w="180" w:type="dxa"/>
            <w:vAlign w:val="bottom"/>
          </w:tcPr>
          <w:p>
            <w:pPr>
              <w:spacing w:after="0"/>
              <w:rPr>
                <w:sz w:val="10"/>
                <w:szCs w:val="10"/>
                <w:color w:val="auto"/>
              </w:rPr>
            </w:pPr>
          </w:p>
        </w:tc>
        <w:tc>
          <w:tcPr>
            <w:tcW w:w="94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0"/>
              </w:rPr>
              <w:t>Balances under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14"/>
              <w:spacing w:after="0" w:line="123" w:lineRule="exact"/>
              <w:rPr>
                <w:sz w:val="20"/>
                <w:szCs w:val="20"/>
                <w:color w:val="auto"/>
              </w:rPr>
            </w:pPr>
            <w:r>
              <w:rPr>
                <w:rFonts w:ascii="Arial" w:cs="Arial" w:eastAsia="Arial" w:hAnsi="Arial"/>
                <w:sz w:val="14"/>
                <w:szCs w:val="14"/>
                <w:color w:val="auto"/>
                <w:w w:val="94"/>
              </w:rPr>
              <w:t>Impact from</w:t>
            </w:r>
          </w:p>
        </w:tc>
      </w:tr>
      <w:tr>
        <w:trPr>
          <w:trHeight w:val="167"/>
        </w:trPr>
        <w:tc>
          <w:tcPr>
            <w:tcW w:w="3460" w:type="dxa"/>
            <w:vAlign w:val="bottom"/>
            <w:tcBorders>
              <w:bottom w:val="single" w:sz="8" w:color="CCEEFF"/>
            </w:tcBorders>
          </w:tcPr>
          <w:p>
            <w:pPr>
              <w:spacing w:after="0"/>
              <w:rPr>
                <w:sz w:val="14"/>
                <w:szCs w:val="14"/>
                <w:color w:val="auto"/>
              </w:rPr>
            </w:pPr>
          </w:p>
        </w:tc>
        <w:tc>
          <w:tcPr>
            <w:tcW w:w="2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w w:val="95"/>
              </w:rPr>
              <w:t>(Topic 606)</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6"/>
              </w:rPr>
              <w:t>ASC 605</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Adoption</w:t>
            </w:r>
          </w:p>
        </w:tc>
      </w:tr>
      <w:tr>
        <w:trPr>
          <w:trHeight w:val="223"/>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Implementation services and other</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Implementation services and other</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(5,245)</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Sales and marketing</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28,209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(1,791)</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1,857</w:t>
            </w:r>
          </w:p>
        </w:tc>
      </w:tr>
      <w:tr>
        <w:trPr>
          <w:trHeight w:val="23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w:t>
            </w:r>
          </w:p>
        </w:tc>
      </w:tr>
      <w:tr>
        <w:trPr>
          <w:trHeight w:val="648"/>
        </w:trPr>
        <w:tc>
          <w:tcPr>
            <w:tcW w:w="3460" w:type="dxa"/>
            <w:vAlign w:val="bottom"/>
          </w:tcPr>
          <w:p>
            <w:pPr>
              <w:spacing w:after="0"/>
              <w:rPr>
                <w:sz w:val="24"/>
                <w:szCs w:val="24"/>
                <w:color w:val="auto"/>
              </w:rPr>
            </w:pPr>
          </w:p>
        </w:tc>
        <w:tc>
          <w:tcPr>
            <w:tcW w:w="2400" w:type="dxa"/>
            <w:vAlign w:val="bottom"/>
          </w:tcPr>
          <w:p>
            <w:pPr>
              <w:jc w:val="right"/>
              <w:ind w:right="11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29"/>
        </w:trPr>
        <w:tc>
          <w:tcPr>
            <w:tcW w:w="346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80" w:firstLine="648"/>
        <w:spacing w:after="0" w:line="258" w:lineRule="auto"/>
        <w:rPr>
          <w:sz w:val="20"/>
          <w:szCs w:val="20"/>
          <w:color w:val="auto"/>
        </w:rPr>
      </w:pPr>
      <w:r>
        <w:rPr>
          <w:rFonts w:ascii="Arial" w:cs="Arial" w:eastAsia="Arial" w:hAnsi="Arial"/>
          <w:sz w:val="18"/>
          <w:szCs w:val="18"/>
          <w:color w:val="auto"/>
        </w:rPr>
        <w:t>The following table summarizes the impact from the adoption of Topic 606 on the Company’s unaudited consolidated balance sheet: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gridSpan w:val="7"/>
          </w:tcPr>
          <w:p>
            <w:pPr>
              <w:jc w:val="center"/>
              <w:ind w:right="14"/>
              <w:spacing w:after="0"/>
              <w:rPr>
                <w:sz w:val="20"/>
                <w:szCs w:val="20"/>
                <w:color w:val="auto"/>
              </w:rPr>
            </w:pPr>
            <w:r>
              <w:rPr>
                <w:rFonts w:ascii="Arial" w:cs="Arial" w:eastAsia="Arial" w:hAnsi="Arial"/>
                <w:sz w:val="14"/>
                <w:szCs w:val="14"/>
                <w:b w:val="1"/>
                <w:bCs w:val="1"/>
                <w:color w:val="auto"/>
                <w:w w:val="92"/>
              </w:rPr>
              <w:t>Three Months Ended September 30, 2018</w:t>
            </w:r>
          </w:p>
        </w:tc>
      </w:tr>
      <w:tr>
        <w:trPr>
          <w:trHeight w:val="123"/>
        </w:trPr>
        <w:tc>
          <w:tcPr>
            <w:tcW w:w="43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ind w:right="35"/>
              <w:spacing w:after="0" w:line="123" w:lineRule="exact"/>
              <w:rPr>
                <w:sz w:val="20"/>
                <w:szCs w:val="20"/>
                <w:color w:val="auto"/>
              </w:rPr>
            </w:pPr>
            <w:r>
              <w:rPr>
                <w:rFonts w:ascii="Arial" w:cs="Arial" w:eastAsia="Arial" w:hAnsi="Arial"/>
                <w:sz w:val="14"/>
                <w:szCs w:val="14"/>
                <w:color w:val="auto"/>
                <w:w w:val="92"/>
              </w:rPr>
              <w:t>As Reported</w:t>
            </w:r>
          </w:p>
        </w:tc>
        <w:tc>
          <w:tcPr>
            <w:tcW w:w="180" w:type="dxa"/>
            <w:vAlign w:val="bottom"/>
          </w:tcPr>
          <w:p>
            <w:pPr>
              <w:spacing w:after="0"/>
              <w:rPr>
                <w:sz w:val="10"/>
                <w:szCs w:val="10"/>
                <w:color w:val="auto"/>
              </w:rPr>
            </w:pPr>
          </w:p>
        </w:tc>
        <w:tc>
          <w:tcPr>
            <w:tcW w:w="1220" w:type="dxa"/>
            <w:vAlign w:val="bottom"/>
            <w:gridSpan w:val="4"/>
          </w:tcPr>
          <w:p>
            <w:pPr>
              <w:jc w:val="center"/>
              <w:ind w:right="300"/>
              <w:spacing w:after="0" w:line="123" w:lineRule="exact"/>
              <w:rPr>
                <w:sz w:val="20"/>
                <w:szCs w:val="20"/>
                <w:color w:val="auto"/>
              </w:rPr>
            </w:pPr>
            <w:r>
              <w:rPr>
                <w:rFonts w:ascii="Arial" w:cs="Arial" w:eastAsia="Arial" w:hAnsi="Arial"/>
                <w:sz w:val="14"/>
                <w:szCs w:val="14"/>
                <w:color w:val="auto"/>
                <w:w w:val="90"/>
              </w:rPr>
              <w:t>Balances under</w:t>
            </w:r>
          </w:p>
        </w:tc>
        <w:tc>
          <w:tcPr>
            <w:tcW w:w="820" w:type="dxa"/>
            <w:vAlign w:val="bottom"/>
          </w:tcPr>
          <w:p>
            <w:pPr>
              <w:jc w:val="right"/>
              <w:ind w:right="14"/>
              <w:spacing w:after="0" w:line="123" w:lineRule="exact"/>
              <w:rPr>
                <w:sz w:val="20"/>
                <w:szCs w:val="20"/>
                <w:color w:val="auto"/>
              </w:rPr>
            </w:pPr>
            <w:r>
              <w:rPr>
                <w:rFonts w:ascii="Arial" w:cs="Arial" w:eastAsia="Arial" w:hAnsi="Arial"/>
                <w:sz w:val="14"/>
                <w:szCs w:val="14"/>
                <w:color w:val="auto"/>
                <w:w w:val="94"/>
              </w:rPr>
              <w:t>Impact from</w:t>
            </w:r>
          </w:p>
        </w:tc>
      </w:tr>
      <w:tr>
        <w:trPr>
          <w:trHeight w:val="167"/>
        </w:trPr>
        <w:tc>
          <w:tcPr>
            <w:tcW w:w="4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75"/>
              <w:spacing w:after="0"/>
              <w:rPr>
                <w:sz w:val="20"/>
                <w:szCs w:val="20"/>
                <w:color w:val="auto"/>
              </w:rPr>
            </w:pPr>
            <w:r>
              <w:rPr>
                <w:rFonts w:ascii="Arial" w:cs="Arial" w:eastAsia="Arial" w:hAnsi="Arial"/>
                <w:sz w:val="14"/>
                <w:szCs w:val="14"/>
                <w:color w:val="auto"/>
                <w:w w:val="95"/>
              </w:rPr>
              <w:t>(Topic 606)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color w:val="auto"/>
                <w:w w:val="96"/>
              </w:rPr>
              <w:t>ASC 605</w:t>
            </w:r>
          </w:p>
        </w:tc>
        <w:tc>
          <w:tcPr>
            <w:tcW w:w="820" w:type="dxa"/>
            <w:vAlign w:val="bottom"/>
          </w:tcPr>
          <w:p>
            <w:pPr>
              <w:jc w:val="right"/>
              <w:ind w:right="94"/>
              <w:spacing w:after="0"/>
              <w:rPr>
                <w:sz w:val="20"/>
                <w:szCs w:val="20"/>
                <w:color w:val="auto"/>
              </w:rPr>
            </w:pPr>
            <w:r>
              <w:rPr>
                <w:rFonts w:ascii="Arial" w:cs="Arial" w:eastAsia="Arial" w:hAnsi="Arial"/>
                <w:sz w:val="14"/>
                <w:szCs w:val="14"/>
                <w:color w:val="auto"/>
              </w:rPr>
              <w:t>Adoption</w:t>
            </w:r>
          </w:p>
        </w:tc>
      </w:tr>
      <w:tr>
        <w:trPr>
          <w:trHeight w:val="223"/>
        </w:trPr>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4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16,215</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1,714</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59,061</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Long-term prepaid expenses and other</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 net</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(20,248)</w:t>
            </w:r>
          </w:p>
        </w:tc>
      </w:tr>
      <w:tr>
        <w:trPr>
          <w:trHeight w:val="230"/>
        </w:trPr>
        <w:tc>
          <w:tcPr>
            <w:tcW w:w="43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(1,640)</w:t>
            </w: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Retained earnings (accumulated deficit)</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55,846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57,989</w:t>
            </w:r>
          </w:p>
        </w:tc>
      </w:tr>
    </w:tbl>
    <w:p>
      <w:pPr>
        <w:spacing w:after="0" w:line="201"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The following table summarizes the impact from the adoption of Topic 606 on the Company’s unaudited consolidated statement of cash flows: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7"/>
          </w:tcPr>
          <w:p>
            <w:pPr>
              <w:jc w:val="center"/>
              <w:ind w:right="14"/>
              <w:spacing w:after="0"/>
              <w:rPr>
                <w:sz w:val="20"/>
                <w:szCs w:val="20"/>
                <w:color w:val="auto"/>
              </w:rPr>
            </w:pPr>
            <w:r>
              <w:rPr>
                <w:rFonts w:ascii="Arial" w:cs="Arial" w:eastAsia="Arial" w:hAnsi="Arial"/>
                <w:sz w:val="14"/>
                <w:szCs w:val="14"/>
                <w:b w:val="1"/>
                <w:bCs w:val="1"/>
                <w:color w:val="auto"/>
                <w:w w:val="93"/>
              </w:rPr>
              <w:t>Three Months Ended September 30, 2018</w:t>
            </w:r>
          </w:p>
        </w:tc>
      </w:tr>
      <w:tr>
        <w:trPr>
          <w:trHeight w:val="137"/>
        </w:trPr>
        <w:tc>
          <w:tcPr>
            <w:tcW w:w="5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36"/>
              <w:spacing w:after="0" w:line="137" w:lineRule="exact"/>
              <w:rPr>
                <w:sz w:val="20"/>
                <w:szCs w:val="20"/>
                <w:color w:val="auto"/>
              </w:rPr>
            </w:pPr>
            <w:r>
              <w:rPr>
                <w:rFonts w:ascii="Arial" w:cs="Arial" w:eastAsia="Arial" w:hAnsi="Arial"/>
                <w:sz w:val="14"/>
                <w:szCs w:val="14"/>
                <w:color w:val="auto"/>
                <w:w w:val="89"/>
              </w:rPr>
              <w:t>As Reported</w:t>
            </w:r>
          </w:p>
        </w:tc>
        <w:tc>
          <w:tcPr>
            <w:tcW w:w="160" w:type="dxa"/>
            <w:vAlign w:val="bottom"/>
          </w:tcPr>
          <w:p>
            <w:pPr>
              <w:spacing w:after="0"/>
              <w:rPr>
                <w:sz w:val="11"/>
                <w:szCs w:val="11"/>
                <w:color w:val="auto"/>
              </w:rPr>
            </w:pPr>
          </w:p>
        </w:tc>
        <w:tc>
          <w:tcPr>
            <w:tcW w:w="940" w:type="dxa"/>
            <w:vAlign w:val="bottom"/>
            <w:gridSpan w:val="2"/>
          </w:tcPr>
          <w:p>
            <w:pPr>
              <w:jc w:val="center"/>
              <w:spacing w:after="0" w:line="137" w:lineRule="exact"/>
              <w:rPr>
                <w:sz w:val="20"/>
                <w:szCs w:val="20"/>
                <w:color w:val="auto"/>
              </w:rPr>
            </w:pPr>
            <w:r>
              <w:rPr>
                <w:rFonts w:ascii="Arial" w:cs="Arial" w:eastAsia="Arial" w:hAnsi="Arial"/>
                <w:sz w:val="14"/>
                <w:szCs w:val="14"/>
                <w:color w:val="auto"/>
                <w:w w:val="92"/>
              </w:rPr>
              <w:t>Balances under</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34"/>
              <w:spacing w:after="0" w:line="137" w:lineRule="exact"/>
              <w:rPr>
                <w:sz w:val="20"/>
                <w:szCs w:val="20"/>
                <w:color w:val="auto"/>
              </w:rPr>
            </w:pPr>
            <w:r>
              <w:rPr>
                <w:rFonts w:ascii="Arial" w:cs="Arial" w:eastAsia="Arial" w:hAnsi="Arial"/>
                <w:sz w:val="14"/>
                <w:szCs w:val="14"/>
                <w:color w:val="auto"/>
                <w:w w:val="94"/>
              </w:rPr>
              <w:t>Impact from</w:t>
            </w:r>
          </w:p>
        </w:tc>
      </w:tr>
      <w:tr>
        <w:trPr>
          <w:trHeight w:val="167"/>
        </w:trPr>
        <w:tc>
          <w:tcPr>
            <w:tcW w:w="55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w w:val="95"/>
              </w:rPr>
              <w:t>(Topic 606)</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w w:val="96"/>
              </w:rPr>
              <w:t>ASC 605</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Adoption</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9,852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4,535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5,317</w:t>
            </w:r>
          </w:p>
        </w:tc>
      </w:tr>
      <w:tr>
        <w:trPr>
          <w:trHeight w:val="202"/>
        </w:trPr>
        <w:tc>
          <w:tcPr>
            <w:tcW w:w="5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Adjustments to reconcile net income to net cash provided by operating</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Deferred income tax expense (benefit)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1,857</w:t>
            </w: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(7,169)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(7,169)</w:t>
            </w: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Accrued expenses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(6,214)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(441)</w:t>
            </w: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March 2018, the FASB issued ASU 2018-05, Income Taxes (Topic 740) (“ASU 2018-05”) which incorporates the SEC’s Staff Accounting Bulletin 118 (“SAB 118”) issued on December 22, 2017. SAB 118 provides for a provisional measurement period for entities to finalize their accounting for certain income tax effects related to the Tax Cuts and Jobs Act (the “Act”), not to exceed one year from enactment of the new tax law. Entities are permitted to utilize reasonable estimates until they have finished analyzing the effects of the Act. The Company recognized provisional income tax effects of the Act during fiscal 2018 in accordance with SAB 118, and expects to complete its accounting under the Act by the end of December 2018. Refer to Note 8 for additional information.</w:t>
      </w:r>
    </w:p>
    <w:p>
      <w:pPr>
        <w:spacing w:after="0" w:line="178" w:lineRule="exact"/>
        <w:rPr>
          <w:sz w:val="20"/>
          <w:szCs w:val="20"/>
          <w:color w:val="auto"/>
        </w:rPr>
      </w:pPr>
    </w:p>
    <w:p>
      <w:pPr>
        <w:ind w:left="280" w:hanging="277"/>
        <w:spacing w:after="0"/>
        <w:tabs>
          <w:tab w:leader="none" w:pos="2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In February 2016, the FASB issued ASU 2016-02, Leases (Topic 842) (“ASU 2016-02”) which amends various aspects of existing guidance for leases. ASU 2016-02 requires an entity to recognize assets and liabilities arising from a lease with terms greater than twelve months, along with additional qualitative and quantitative disclosures. ASU 2016-02 also requires the use of the modified retrospective method, which will require adjustment to all comparative periods presented. In March 2018, the FASB affirmed its proposed guidance by issuing ASU 2018-01, Leases (Topic 842): </w:t>
      </w:r>
      <w:r>
        <w:rPr>
          <w:rFonts w:ascii="Arial" w:cs="Arial" w:eastAsia="Arial" w:hAnsi="Arial"/>
          <w:sz w:val="17"/>
          <w:szCs w:val="17"/>
          <w:i w:val="1"/>
          <w:iCs w:val="1"/>
          <w:color w:val="auto"/>
        </w:rPr>
        <w:t>Targeted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w:t>
      </w:r>
      <w:r>
        <w:rPr>
          <w:rFonts w:ascii="Arial" w:cs="Arial" w:eastAsia="Arial" w:hAnsi="Arial"/>
          <w:sz w:val="17"/>
          <w:szCs w:val="17"/>
          <w:color w:val="auto"/>
        </w:rPr>
        <w:t>which provides an additional transition method allowing an entity to apply the new lease accounting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requirements only for the year of adoption with the comparative periods continuing to be in accordance with current GAAP. In July 2018, the FASB issued ASU 2018-10, Codification Improvements to Topic 842, Leases, and ASU 2018-11, Leases (Topic 842): Targeted Improvements to amend and clarify the original guidance established in the new lease standard. ASU 2016-02, including all of its amendments, is effective for fiscal years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beginning after December 15, 2018, with early adoption permitted. While the Company is still assessing the impact of the new standard, it expects the adoption of this standard will have a material effect on its consolidated balance sheets. The Company is evaluating the transition methods and will adopt this new standard in its fiscal year beginning July 1, 2019.</w:t>
      </w:r>
    </w:p>
    <w:p>
      <w:pPr>
        <w:spacing w:after="0" w:line="14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In August 2018, the FASB issued ASU 2018-13, Fair Value Measurement (Topic 820): Disclosure Framework – Changes to the Disclosure Requirements for Fair Value Measurement (“ASU 2018-13”), which amends the requirements for fair value measurement disclosures. ASU 2018-13 removes, modifies or adds certain disclosure requirements under GAAP. This standard is effective for fiscal years beginning after December 15, 2019, with early adoption permitted. Any new disclosure requirements must be applied on a prospective basis in the interim and annual periods of initial adoption; all removed or modified requirements must be applied retrospectively to all periods presented. The Company is assessing the impact of ASU 2018-13 including the timing and method of adoption.</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(3) Balance Sheet Information</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780" w:type="dxa"/>
            <w:vAlign w:val="bottom"/>
          </w:tcPr>
          <w:p>
            <w:pPr>
              <w:ind w:left="660"/>
              <w:spacing w:after="0"/>
              <w:rPr>
                <w:sz w:val="20"/>
                <w:szCs w:val="20"/>
                <w:color w:val="auto"/>
              </w:rPr>
            </w:pPr>
            <w:r>
              <w:rPr>
                <w:rFonts w:ascii="Arial" w:cs="Arial" w:eastAsia="Arial" w:hAnsi="Arial"/>
                <w:sz w:val="18"/>
                <w:szCs w:val="18"/>
                <w:color w:val="auto"/>
                <w:w w:val="94"/>
              </w:rPr>
              <w:t>The following tables provide details of selected consolidated balance sheet items: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780" w:type="dxa"/>
            <w:vAlign w:val="bottom"/>
          </w:tcPr>
          <w:p>
            <w:pPr>
              <w:ind w:left="660"/>
              <w:spacing w:after="0"/>
              <w:rPr>
                <w:sz w:val="20"/>
                <w:szCs w:val="20"/>
                <w:color w:val="auto"/>
              </w:rPr>
            </w:pPr>
            <w:r>
              <w:rPr>
                <w:rFonts w:ascii="Arial" w:cs="Arial" w:eastAsia="Arial" w:hAnsi="Arial"/>
                <w:sz w:val="18"/>
                <w:szCs w:val="18"/>
                <w:color w:val="auto"/>
              </w:rPr>
              <w:t>Activity in the allowance for doubtful accounts was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6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Charged to expense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17"/>
        </w:trPr>
        <w:tc>
          <w:tcPr>
            <w:tcW w:w="678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6780" w:type="dxa"/>
            <w:vAlign w:val="bottom"/>
          </w:tcPr>
          <w:p>
            <w:pPr>
              <w:ind w:left="660"/>
              <w:spacing w:after="0"/>
              <w:rPr>
                <w:sz w:val="20"/>
                <w:szCs w:val="20"/>
                <w:color w:val="auto"/>
              </w:rPr>
            </w:pPr>
            <w:r>
              <w:rPr>
                <w:rFonts w:ascii="Arial" w:cs="Arial" w:eastAsia="Arial" w:hAnsi="Arial"/>
                <w:sz w:val="18"/>
                <w:szCs w:val="18"/>
                <w:color w:val="auto"/>
                <w:w w:val="95"/>
              </w:rPr>
              <w:t>Capitalized internal-use software and accumulated amortization were as follows: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9"/>
        </w:trPr>
        <w:tc>
          <w:tcPr>
            <w:tcW w:w="6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67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67,678</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72,830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(46,584)</w:t>
            </w: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(50,796)</w:t>
            </w:r>
          </w:p>
        </w:tc>
        <w:tc>
          <w:tcPr>
            <w:tcW w:w="40" w:type="dxa"/>
            <w:vAlign w:val="bottom"/>
          </w:tcPr>
          <w:p>
            <w:pPr>
              <w:spacing w:after="0"/>
              <w:rPr>
                <w:sz w:val="18"/>
                <w:szCs w:val="18"/>
                <w:color w:val="auto"/>
              </w:rPr>
            </w:pPr>
          </w:p>
        </w:tc>
      </w:tr>
      <w:tr>
        <w:trPr>
          <w:trHeight w:val="217"/>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22,034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Amortization of capitalized internal-use software costs is included in Cost of Revenues-Recurring Revenues and amounted to $3,389 and $4,212 for the three months ended September 30, 2017 and 2018,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June 30,</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7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Computer equipment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29,768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31,239</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10,274</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5,965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6,181</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36,910</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40" w:type="dxa"/>
            <w:vAlign w:val="bottom"/>
            <w:tcBorders>
              <w:bottom w:val="single" w:sz="8" w:color="CCEEFF"/>
            </w:tcBorders>
          </w:tcPr>
          <w:p>
            <w:pPr>
              <w:spacing w:after="0"/>
              <w:rPr>
                <w:sz w:val="18"/>
                <w:szCs w:val="18"/>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93,077</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(28,729)</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(31,254)</w:t>
            </w:r>
          </w:p>
        </w:tc>
      </w:tr>
      <w:tr>
        <w:trPr>
          <w:trHeight w:val="217"/>
        </w:trPr>
        <w:tc>
          <w:tcPr>
            <w:tcW w:w="7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Depreciation expense amounted to $2,925 and $3,457 for the three months ended September 30, 2017 and 2018,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amortizable intangible assets and estimated useful lives are as follows: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Useful</w:t>
            </w:r>
          </w:p>
        </w:tc>
      </w:tr>
      <w:tr>
        <w:trPr>
          <w:trHeight w:val="171"/>
        </w:trPr>
        <w:tc>
          <w:tcPr>
            <w:tcW w:w="40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Life</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2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7 - 9 years</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Non-solicitation agreements</w:t>
            </w:r>
          </w:p>
        </w:tc>
        <w:tc>
          <w:tcPr>
            <w:tcW w:w="20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8"/>
                <w:szCs w:val="18"/>
                <w:color w:val="auto"/>
                <w:w w:val="89"/>
              </w:rPr>
              <w:t>2 - 4 years</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(5,728)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(6,291)</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260" w:firstLine="648"/>
        <w:spacing w:after="0" w:line="277" w:lineRule="auto"/>
        <w:rPr>
          <w:sz w:val="20"/>
          <w:szCs w:val="20"/>
          <w:color w:val="auto"/>
        </w:rPr>
      </w:pPr>
      <w:r>
        <w:rPr>
          <w:rFonts w:ascii="Arial" w:cs="Arial" w:eastAsia="Arial" w:hAnsi="Arial"/>
          <w:sz w:val="18"/>
          <w:szCs w:val="18"/>
          <w:color w:val="auto"/>
        </w:rPr>
        <w:t>Amortization expense for acquired intangible assets was $359 and $563 for the three months ended September 30, 2017 and 2018,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amortization expense for acquired intangible assets is as follows, as of September 30, 2018:</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Remainder of fiscal 2019</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rPr>
              <w:t>Fiscal 2020</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2021</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rPr>
              <w:t>Fiscal 2022</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2023</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Thereafter</w:t>
            </w: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30"/>
        </w:trPr>
        <w:tc>
          <w:tcPr>
            <w:tcW w:w="5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12,439</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r>
      <w:tr>
        <w:trPr>
          <w:trHeight w:val="419"/>
        </w:trPr>
        <w:tc>
          <w:tcPr>
            <w:tcW w:w="5780" w:type="dxa"/>
            <w:vAlign w:val="bottom"/>
          </w:tcPr>
          <w:p>
            <w:pPr>
              <w:ind w:left="660"/>
              <w:spacing w:after="0"/>
              <w:rPr>
                <w:sz w:val="20"/>
                <w:szCs w:val="20"/>
                <w:color w:val="auto"/>
              </w:rPr>
            </w:pPr>
            <w:r>
              <w:rPr>
                <w:rFonts w:ascii="Arial" w:cs="Arial" w:eastAsia="Arial" w:hAnsi="Arial"/>
                <w:sz w:val="18"/>
                <w:szCs w:val="18"/>
                <w:color w:val="auto"/>
              </w:rPr>
              <w:t>The components of accrued expenses were as follows:</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55"/>
        </w:trPr>
        <w:tc>
          <w:tcPr>
            <w:tcW w:w="5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w w:val="98"/>
              </w:rPr>
              <w:t>September 30,</w:t>
            </w:r>
          </w:p>
        </w:tc>
      </w:tr>
      <w:tr>
        <w:trPr>
          <w:trHeight w:val="171"/>
        </w:trPr>
        <w:tc>
          <w:tcPr>
            <w:tcW w:w="57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Lease exit obligations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1,808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11,987</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7"/>
        </w:trPr>
        <w:tc>
          <w:tcPr>
            <w:tcW w:w="5780" w:type="dxa"/>
            <w:vAlign w:val="bottom"/>
          </w:tcPr>
          <w:p>
            <w:pPr>
              <w:spacing w:after="0"/>
              <w:rPr>
                <w:sz w:val="20"/>
                <w:szCs w:val="20"/>
                <w:color w:val="auto"/>
              </w:rPr>
            </w:pPr>
            <w:r>
              <w:rPr>
                <w:rFonts w:ascii="Arial" w:cs="Arial" w:eastAsia="Arial" w:hAnsi="Arial"/>
                <w:sz w:val="18"/>
                <w:szCs w:val="18"/>
                <w:color w:val="auto"/>
              </w:rPr>
              <w:t>Total accrued expenses</w:t>
            </w:r>
          </w:p>
        </w:tc>
        <w:tc>
          <w:tcPr>
            <w:tcW w:w="1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June 2018, the Company ceased using approximately 110 rentable square feet of its former headquarters in Arlington Heights, Illinois in conjunction with relocating to its new Schaumburg, Illinois headquarters. The following table is a summary of the changes in the remaining lease exit obligations related to the Company’s former headquarters, which is recorded in accrued expenses and other long-term liabilities on the unaudited consolidated balance sheets: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2018</w:t>
            </w:r>
          </w:p>
        </w:tc>
        <w:tc>
          <w:tcPr>
            <w:tcW w:w="498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Payments</w:t>
            </w:r>
          </w:p>
        </w:tc>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47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Balance at September 30, 2018</w:t>
            </w:r>
          </w:p>
        </w:tc>
        <w:tc>
          <w:tcPr>
            <w:tcW w:w="470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80" w:type="dxa"/>
            <w:vAlign w:val="bottom"/>
          </w:tcPr>
          <w:p>
            <w:pPr>
              <w:spacing w:after="0"/>
              <w:rPr>
                <w:sz w:val="18"/>
                <w:szCs w:val="18"/>
                <w:color w:val="auto"/>
              </w:rPr>
            </w:pPr>
          </w:p>
        </w:tc>
      </w:tr>
      <w:tr>
        <w:trPr>
          <w:trHeight w:val="675"/>
        </w:trPr>
        <w:tc>
          <w:tcPr>
            <w:tcW w:w="3340" w:type="dxa"/>
            <w:vAlign w:val="bottom"/>
          </w:tcPr>
          <w:p>
            <w:pPr>
              <w:spacing w:after="0"/>
              <w:rPr>
                <w:sz w:val="24"/>
                <w:szCs w:val="24"/>
                <w:color w:val="auto"/>
              </w:rPr>
            </w:pPr>
          </w:p>
        </w:tc>
        <w:tc>
          <w:tcPr>
            <w:tcW w:w="4700" w:type="dxa"/>
            <w:vAlign w:val="bottom"/>
          </w:tcPr>
          <w:p>
            <w:pPr>
              <w:jc w:val="right"/>
              <w:ind w:right="333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3340" w:type="dxa"/>
            <w:vAlign w:val="bottom"/>
            <w:tcBorders>
              <w:bottom w:val="single" w:sz="8" w:color="auto"/>
            </w:tcBorders>
          </w:tcPr>
          <w:p>
            <w:pPr>
              <w:spacing w:after="0"/>
              <w:rPr>
                <w:sz w:val="11"/>
                <w:szCs w:val="11"/>
                <w:color w:val="auto"/>
              </w:rPr>
            </w:pPr>
          </w:p>
        </w:tc>
        <w:tc>
          <w:tcPr>
            <w:tcW w:w="47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Corporate Investments and Funds Held for Clients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investments and funds held for clients consist of the following:</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rPr>
              <w:t>June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33"/>
        </w:trPr>
        <w:tc>
          <w:tcPr>
            <w:tcW w:w="5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75"/>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right"/>
              <w:ind w:right="220"/>
              <w:spacing w:after="0" w:line="133" w:lineRule="exact"/>
              <w:rPr>
                <w:sz w:val="20"/>
                <w:szCs w:val="20"/>
                <w:color w:val="auto"/>
              </w:rPr>
            </w:pPr>
            <w:r>
              <w:rPr>
                <w:rFonts w:ascii="Arial" w:cs="Arial" w:eastAsia="Arial" w:hAnsi="Arial"/>
                <w:sz w:val="14"/>
                <w:szCs w:val="14"/>
                <w:b w:val="1"/>
                <w:bCs w:val="1"/>
                <w:color w:val="auto"/>
                <w:w w:val="93"/>
              </w:rPr>
              <w:t>Gross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2"/>
        </w:trPr>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54"/>
              <w:spacing w:after="0"/>
              <w:rPr>
                <w:sz w:val="20"/>
                <w:szCs w:val="20"/>
                <w:color w:val="auto"/>
              </w:rPr>
            </w:pPr>
            <w:r>
              <w:rPr>
                <w:rFonts w:ascii="Arial" w:cs="Arial" w:eastAsia="Arial" w:hAnsi="Arial"/>
                <w:sz w:val="14"/>
                <w:szCs w:val="14"/>
                <w:b w:val="1"/>
                <w:bCs w:val="1"/>
                <w:color w:val="auto"/>
                <w:w w:val="99"/>
              </w:rPr>
              <w:t>Amortized</w:t>
            </w:r>
          </w:p>
        </w:tc>
        <w:tc>
          <w:tcPr>
            <w:tcW w:w="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ind w:left="2300"/>
              <w:spacing w:after="0"/>
              <w:rPr>
                <w:sz w:val="20"/>
                <w:szCs w:val="20"/>
                <w:color w:val="auto"/>
              </w:rPr>
            </w:pPr>
            <w:r>
              <w:rPr>
                <w:rFonts w:ascii="Arial" w:cs="Arial" w:eastAsia="Arial" w:hAnsi="Arial"/>
                <w:sz w:val="14"/>
                <w:szCs w:val="14"/>
                <w:b w:val="1"/>
                <w:bCs w:val="1"/>
                <w:color w:val="auto"/>
              </w:rPr>
              <w:t>Type of Issue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2"/>
              <w:spacing w:after="0"/>
              <w:rPr>
                <w:sz w:val="20"/>
                <w:szCs w:val="20"/>
                <w:color w:val="auto"/>
              </w:rPr>
            </w:pPr>
            <w:r>
              <w:rPr>
                <w:rFonts w:ascii="Arial" w:cs="Arial" w:eastAsia="Arial" w:hAnsi="Arial"/>
                <w:sz w:val="14"/>
                <w:szCs w:val="14"/>
                <w:b w:val="1"/>
                <w:bCs w:val="1"/>
                <w:color w:val="auto"/>
                <w:w w:val="97"/>
              </w:rPr>
              <w:t>Fair value</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137,193</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1,102,541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1,102,538</w:t>
            </w: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50,702</w:t>
            </w: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37,382</w:t>
            </w: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25,847</w:t>
            </w: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9,877</w:t>
            </w:r>
          </w:p>
        </w:tc>
      </w:tr>
      <w:tr>
        <w:trPr>
          <w:trHeight w:val="223"/>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 (1)</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123,991</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123,808</w:t>
            </w:r>
          </w:p>
        </w:tc>
      </w:tr>
      <w:tr>
        <w:trPr>
          <w:trHeight w:val="217"/>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1,363,725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1,363,539</w:t>
            </w:r>
          </w:p>
        </w:tc>
      </w:tr>
    </w:tbl>
    <w:p>
      <w:pPr>
        <w:spacing w:after="0" w:line="202" w:lineRule="exact"/>
        <w:rPr>
          <w:sz w:val="20"/>
          <w:szCs w:val="20"/>
          <w:color w:val="auto"/>
        </w:rPr>
      </w:pPr>
    </w:p>
    <w:p>
      <w:pPr>
        <w:ind w:left="660" w:right="520" w:hanging="333"/>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$732 of corporate investments and $123,076 of funds held for clients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September 30,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9"/>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00" w:type="dxa"/>
            <w:vAlign w:val="bottom"/>
            <w:vMerge w:val="restart"/>
          </w:tcPr>
          <w:p>
            <w:pPr>
              <w:ind w:left="2300"/>
              <w:spacing w:after="0"/>
              <w:rPr>
                <w:sz w:val="20"/>
                <w:szCs w:val="20"/>
                <w:color w:val="auto"/>
              </w:rPr>
            </w:pPr>
            <w:r>
              <w:rPr>
                <w:rFonts w:ascii="Arial" w:cs="Arial" w:eastAsia="Arial" w:hAnsi="Arial"/>
                <w:sz w:val="14"/>
                <w:szCs w:val="14"/>
                <w:b w:val="1"/>
                <w:bCs w:val="1"/>
                <w:color w:val="auto"/>
              </w:rPr>
              <w:t>Type of Issue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74"/>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63,662</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1,046,696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1,046,691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56,651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56,634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32,188</w:t>
            </w: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38,711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38,671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16,102</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 (2)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143,756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143,595</w:t>
            </w:r>
          </w:p>
        </w:tc>
        <w:tc>
          <w:tcPr>
            <w:tcW w:w="0" w:type="dxa"/>
            <w:vAlign w:val="bottom"/>
          </w:tcPr>
          <w:p>
            <w:pPr>
              <w:spacing w:after="0"/>
              <w:rPr>
                <w:sz w:val="1"/>
                <w:szCs w:val="1"/>
                <w:color w:val="auto"/>
              </w:rPr>
            </w:pPr>
          </w:p>
        </w:tc>
      </w:tr>
      <w:tr>
        <w:trPr>
          <w:trHeight w:val="217"/>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1,254,115</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1,253,948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300" w:hanging="333"/>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within the fair value of total available-for-sale securities above is $22,130 of corporate investments and $121,465 of funds held for clients</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began investing corporate funds in available-for-sale securities during the first quarter of fiscal 2019 and as a result, reclassified $732 as of June 30, 2018 from prepaid expenses and other on the unaudited consolidated balance sheets to corporate investments for comparability purposes in order to conform to the current year’s presentation. Cash and cash equivalents and funds held for clients’ cash and cash equivalents include demand deposit accounts, money market funds and commercial paper as of June 30, 2018 and September 30, 2018.</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Classification of investments on the unaudited consolidated balance sheets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55"/>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September 30,</w:t>
            </w:r>
          </w:p>
        </w:tc>
      </w:tr>
      <w:tr>
        <w:trPr>
          <w:trHeight w:val="171"/>
        </w:trPr>
        <w:tc>
          <w:tcPr>
            <w:tcW w:w="3600" w:type="dxa"/>
            <w:vAlign w:val="bottom"/>
            <w:tcBorders>
              <w:bottom w:val="single" w:sz="8" w:color="CCEEFF"/>
            </w:tcBorders>
          </w:tcPr>
          <w:p>
            <w:pPr>
              <w:spacing w:after="0"/>
              <w:rPr>
                <w:sz w:val="14"/>
                <w:szCs w:val="14"/>
                <w:color w:val="auto"/>
              </w:rPr>
            </w:pPr>
          </w:p>
        </w:tc>
        <w:tc>
          <w:tcPr>
            <w:tcW w:w="3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63,662</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Corporate investments</w:t>
            </w:r>
          </w:p>
        </w:tc>
        <w:tc>
          <w:tcPr>
            <w:tcW w:w="3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21,225</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Funds held for clients</w:t>
            </w:r>
          </w:p>
        </w:tc>
        <w:tc>
          <w:tcPr>
            <w:tcW w:w="3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1,225,614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1,168,156</w:t>
            </w:r>
          </w:p>
        </w:tc>
      </w:tr>
      <w:tr>
        <w:trPr>
          <w:trHeight w:val="216"/>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prepaid expenses and other</w:t>
            </w:r>
          </w:p>
        </w:tc>
        <w:tc>
          <w:tcPr>
            <w:tcW w:w="3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r>
      <w:tr>
        <w:trPr>
          <w:trHeight w:val="230"/>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1,363,539</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1,253,948</w:t>
            </w:r>
          </w:p>
        </w:tc>
      </w:tr>
      <w:tr>
        <w:trPr>
          <w:trHeight w:val="635"/>
        </w:trPr>
        <w:tc>
          <w:tcPr>
            <w:tcW w:w="3600" w:type="dxa"/>
            <w:vAlign w:val="bottom"/>
          </w:tcPr>
          <w:p>
            <w:pPr>
              <w:spacing w:after="0"/>
              <w:rPr>
                <w:sz w:val="24"/>
                <w:szCs w:val="24"/>
                <w:color w:val="auto"/>
              </w:rPr>
            </w:pPr>
          </w:p>
        </w:tc>
        <w:tc>
          <w:tcPr>
            <w:tcW w:w="3360" w:type="dxa"/>
            <w:vAlign w:val="bottom"/>
          </w:tcPr>
          <w:p>
            <w:pPr>
              <w:jc w:val="right"/>
              <w:ind w:right="225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29"/>
        </w:trPr>
        <w:tc>
          <w:tcPr>
            <w:tcW w:w="360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Available-for-sale securities that have been in an unrealized loss position for a period of less and greater than 12 months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w w:val="90"/>
              </w:rPr>
              <w:t>June 30, 2018</w:t>
            </w: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33"/>
        </w:trPr>
        <w:tc>
          <w:tcPr>
            <w:tcW w:w="3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7"/>
          </w:tcPr>
          <w:p>
            <w:pPr>
              <w:ind w:left="260"/>
              <w:spacing w:after="0" w:line="133" w:lineRule="exact"/>
              <w:rPr>
                <w:sz w:val="20"/>
                <w:szCs w:val="20"/>
                <w:color w:val="auto"/>
              </w:rPr>
            </w:pPr>
            <w:r>
              <w:rPr>
                <w:rFonts w:ascii="Arial" w:cs="Arial" w:eastAsia="Arial" w:hAnsi="Arial"/>
                <w:sz w:val="14"/>
                <w:szCs w:val="14"/>
                <w:b w:val="1"/>
                <w:bCs w:val="1"/>
                <w:color w:val="auto"/>
              </w:rPr>
              <w:t>Securities in an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7"/>
          </w:tcPr>
          <w:p>
            <w:pPr>
              <w:jc w:val="center"/>
              <w:ind w:right="100"/>
              <w:spacing w:after="0" w:line="133" w:lineRule="exact"/>
              <w:rPr>
                <w:sz w:val="20"/>
                <w:szCs w:val="20"/>
                <w:color w:val="auto"/>
              </w:rPr>
            </w:pPr>
            <w:r>
              <w:rPr>
                <w:rFonts w:ascii="Arial" w:cs="Arial" w:eastAsia="Arial" w:hAnsi="Arial"/>
                <w:sz w:val="14"/>
                <w:szCs w:val="14"/>
                <w:b w:val="1"/>
                <w:bCs w:val="1"/>
                <w:color w:val="auto"/>
                <w:w w:val="90"/>
              </w:rPr>
              <w:t>Securities in an</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2"/>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7"/>
          </w:tcPr>
          <w:p>
            <w:pPr>
              <w:ind w:left="280"/>
              <w:spacing w:after="0"/>
              <w:rPr>
                <w:sz w:val="20"/>
                <w:szCs w:val="20"/>
                <w:color w:val="auto"/>
              </w:rPr>
            </w:pPr>
            <w:r>
              <w:rPr>
                <w:rFonts w:ascii="Arial" w:cs="Arial" w:eastAsia="Arial" w:hAnsi="Arial"/>
                <w:sz w:val="14"/>
                <w:szCs w:val="14"/>
                <w:b w:val="1"/>
                <w:bCs w:val="1"/>
                <w:color w:val="auto"/>
              </w:rPr>
              <w:t>unrealized loss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8"/>
              </w:rPr>
              <w:t>unrealized loss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7"/>
          </w:tcPr>
          <w:p>
            <w:pPr>
              <w:ind w:left="240"/>
              <w:spacing w:after="0"/>
              <w:rPr>
                <w:sz w:val="20"/>
                <w:szCs w:val="20"/>
                <w:color w:val="auto"/>
              </w:rPr>
            </w:pPr>
            <w:r>
              <w:rPr>
                <w:rFonts w:ascii="Arial" w:cs="Arial" w:eastAsia="Arial" w:hAnsi="Arial"/>
                <w:sz w:val="14"/>
                <w:szCs w:val="14"/>
                <w:b w:val="1"/>
                <w:bCs w:val="1"/>
                <w:color w:val="auto"/>
              </w:rPr>
              <w:t>position for less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position for greater</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than 12 months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4"/>
                <w:szCs w:val="14"/>
                <w:b w:val="1"/>
                <w:bCs w:val="1"/>
                <w:color w:val="auto"/>
                <w:w w:val="92"/>
              </w:rPr>
              <w:t>than 12 months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w w:val="89"/>
              </w:rPr>
              <w:t>Total</w:t>
            </w:r>
          </w:p>
        </w:tc>
      </w:tr>
      <w:tr>
        <w:trPr>
          <w:trHeight w:val="133"/>
        </w:trPr>
        <w:tc>
          <w:tcPr>
            <w:tcW w:w="3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100"/>
              <w:spacing w:after="0" w:line="133" w:lineRule="exact"/>
              <w:rPr>
                <w:sz w:val="20"/>
                <w:szCs w:val="20"/>
                <w:color w:val="auto"/>
              </w:rPr>
            </w:pPr>
            <w:r>
              <w:rPr>
                <w:rFonts w:ascii="Arial" w:cs="Arial" w:eastAsia="Arial" w:hAnsi="Arial"/>
                <w:sz w:val="14"/>
                <w:szCs w:val="14"/>
                <w:b w:val="1"/>
                <w:bCs w:val="1"/>
                <w:color w:val="auto"/>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08"/>
              <w:spacing w:after="0" w:line="133" w:lineRule="exact"/>
              <w:rPr>
                <w:sz w:val="20"/>
                <w:szCs w:val="20"/>
                <w:color w:val="auto"/>
              </w:rPr>
            </w:pPr>
            <w:r>
              <w:rPr>
                <w:rFonts w:ascii="Arial" w:cs="Arial" w:eastAsia="Arial" w:hAnsi="Arial"/>
                <w:sz w:val="14"/>
                <w:szCs w:val="14"/>
                <w:b w:val="1"/>
                <w:bCs w:val="1"/>
                <w:color w:val="auto"/>
                <w:w w:val="98"/>
              </w:rPr>
              <w:t>Gross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2"/>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unrealized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Fair 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7"/>
              </w:rPr>
              <w:t>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Fair value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w w:val="91"/>
              </w:rPr>
              <w:t>losses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$ 23,657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$ 23,657</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29,122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29,122</w:t>
            </w: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17,960</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17,960</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4,933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4,933</w:t>
            </w:r>
          </w:p>
        </w:tc>
      </w:tr>
      <w:tr>
        <w:trPr>
          <w:trHeight w:val="217"/>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75,672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$ 75,672</w:t>
            </w:r>
          </w:p>
        </w:tc>
      </w:tr>
      <w:tr>
        <w:trPr>
          <w:trHeight w:val="608"/>
        </w:trPr>
        <w:tc>
          <w:tcPr>
            <w:tcW w:w="3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center"/>
              <w:ind w:right="240"/>
              <w:spacing w:after="0"/>
              <w:rPr>
                <w:sz w:val="20"/>
                <w:szCs w:val="20"/>
                <w:color w:val="auto"/>
              </w:rPr>
            </w:pPr>
            <w:r>
              <w:rPr>
                <w:rFonts w:ascii="Arial" w:cs="Arial" w:eastAsia="Arial" w:hAnsi="Arial"/>
                <w:sz w:val="14"/>
                <w:szCs w:val="14"/>
                <w:b w:val="1"/>
                <w:bCs w:val="1"/>
                <w:color w:val="auto"/>
                <w:w w:val="91"/>
              </w:rPr>
              <w:t>September 30, 2018</w:t>
            </w: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133"/>
        </w:trPr>
        <w:tc>
          <w:tcPr>
            <w:tcW w:w="3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7"/>
          </w:tcPr>
          <w:p>
            <w:pPr>
              <w:ind w:left="260"/>
              <w:spacing w:after="0" w:line="133" w:lineRule="exact"/>
              <w:rPr>
                <w:sz w:val="20"/>
                <w:szCs w:val="20"/>
                <w:color w:val="auto"/>
              </w:rPr>
            </w:pPr>
            <w:r>
              <w:rPr>
                <w:rFonts w:ascii="Arial" w:cs="Arial" w:eastAsia="Arial" w:hAnsi="Arial"/>
                <w:sz w:val="14"/>
                <w:szCs w:val="14"/>
                <w:b w:val="1"/>
                <w:bCs w:val="1"/>
                <w:color w:val="auto"/>
              </w:rPr>
              <w:t>Securities in an</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gridSpan w:val="7"/>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Securities in an</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2"/>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7"/>
          </w:tcPr>
          <w:p>
            <w:pPr>
              <w:ind w:left="280"/>
              <w:spacing w:after="0"/>
              <w:rPr>
                <w:sz w:val="20"/>
                <w:szCs w:val="20"/>
                <w:color w:val="auto"/>
              </w:rPr>
            </w:pPr>
            <w:r>
              <w:rPr>
                <w:rFonts w:ascii="Arial" w:cs="Arial" w:eastAsia="Arial" w:hAnsi="Arial"/>
                <w:sz w:val="14"/>
                <w:szCs w:val="14"/>
                <w:b w:val="1"/>
                <w:bCs w:val="1"/>
                <w:color w:val="auto"/>
              </w:rPr>
              <w:t>unrealized loss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0"/>
              </w:rPr>
              <w:t>unrealized loss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7"/>
          </w:tcPr>
          <w:p>
            <w:pPr>
              <w:ind w:left="240"/>
              <w:spacing w:after="0"/>
              <w:rPr>
                <w:sz w:val="20"/>
                <w:szCs w:val="20"/>
                <w:color w:val="auto"/>
              </w:rPr>
            </w:pPr>
            <w:r>
              <w:rPr>
                <w:rFonts w:ascii="Arial" w:cs="Arial" w:eastAsia="Arial" w:hAnsi="Arial"/>
                <w:sz w:val="14"/>
                <w:szCs w:val="14"/>
                <w:b w:val="1"/>
                <w:bCs w:val="1"/>
                <w:color w:val="auto"/>
              </w:rPr>
              <w:t>position for less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3"/>
              </w:rPr>
              <w:t>position for greater</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7"/>
          </w:tcPr>
          <w:p>
            <w:pPr>
              <w:ind w:left="240"/>
              <w:spacing w:after="0"/>
              <w:rPr>
                <w:sz w:val="20"/>
                <w:szCs w:val="20"/>
                <w:color w:val="auto"/>
              </w:rPr>
            </w:pPr>
            <w:r>
              <w:rPr>
                <w:rFonts w:ascii="Arial" w:cs="Arial" w:eastAsia="Arial" w:hAnsi="Arial"/>
                <w:sz w:val="14"/>
                <w:szCs w:val="14"/>
                <w:b w:val="1"/>
                <w:bCs w:val="1"/>
                <w:color w:val="auto"/>
              </w:rPr>
              <w:t>than 12 months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than 12 months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right"/>
              <w:ind w:right="579"/>
              <w:spacing w:after="0"/>
              <w:rPr>
                <w:sz w:val="20"/>
                <w:szCs w:val="20"/>
                <w:color w:val="auto"/>
              </w:rPr>
            </w:pPr>
            <w:r>
              <w:rPr>
                <w:rFonts w:ascii="Arial" w:cs="Arial" w:eastAsia="Arial" w:hAnsi="Arial"/>
                <w:sz w:val="14"/>
                <w:szCs w:val="14"/>
                <w:b w:val="1"/>
                <w:bCs w:val="1"/>
                <w:color w:val="auto"/>
              </w:rPr>
              <w:t>Total</w:t>
            </w:r>
          </w:p>
        </w:tc>
      </w:tr>
      <w:tr>
        <w:trPr>
          <w:trHeight w:val="133"/>
        </w:trPr>
        <w:tc>
          <w:tcPr>
            <w:tcW w:w="38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ind w:left="40"/>
              <w:spacing w:after="0" w:line="133" w:lineRule="exact"/>
              <w:rPr>
                <w:sz w:val="20"/>
                <w:szCs w:val="20"/>
                <w:color w:val="auto"/>
              </w:rPr>
            </w:pPr>
            <w:r>
              <w:rPr>
                <w:rFonts w:ascii="Arial" w:cs="Arial" w:eastAsia="Arial" w:hAnsi="Arial"/>
                <w:sz w:val="14"/>
                <w:szCs w:val="14"/>
                <w:b w:val="1"/>
                <w:bCs w:val="1"/>
                <w:color w:val="auto"/>
              </w:rPr>
              <w:t>Gross</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ind w:right="168"/>
              <w:spacing w:after="0" w:line="133" w:lineRule="exact"/>
              <w:rPr>
                <w:sz w:val="20"/>
                <w:szCs w:val="20"/>
                <w:color w:val="auto"/>
              </w:rPr>
            </w:pPr>
            <w:r>
              <w:rPr>
                <w:rFonts w:ascii="Arial" w:cs="Arial" w:eastAsia="Arial" w:hAnsi="Arial"/>
                <w:sz w:val="14"/>
                <w:szCs w:val="14"/>
                <w:b w:val="1"/>
                <w:bCs w:val="1"/>
                <w:color w:val="auto"/>
                <w:w w:val="83"/>
              </w:rPr>
              <w:t>Gross</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r>
      <w:tr>
        <w:trPr>
          <w:trHeight w:val="162"/>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unrealized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7"/>
              </w:rPr>
              <w:t>losses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Fair value</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77"/>
              </w:rPr>
              <w:t>losses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4"/>
              </w:rPr>
              <w:t>Fair value</w:t>
            </w:r>
          </w:p>
        </w:tc>
      </w:tr>
      <w:tr>
        <w:trPr>
          <w:trHeight w:val="210"/>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46,006</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46,006</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21,357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4,814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26,171</w:t>
            </w: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29,396</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16,102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16,102</w:t>
            </w:r>
          </w:p>
        </w:tc>
      </w:tr>
      <w:tr>
        <w:trPr>
          <w:trHeight w:val="217"/>
        </w:trPr>
        <w:tc>
          <w:tcPr>
            <w:tcW w:w="3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111,797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$ 117,675</w:t>
            </w:r>
          </w:p>
        </w:tc>
      </w:tr>
    </w:tbl>
    <w:p>
      <w:pPr>
        <w:spacing w:after="0" w:line="20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Company regularly reviews the composition of its portfolio to determine the existence of other-than-temporary-impairment (“OTTI”). The Company did not recognize any OTTI charges in accumulated other comprehensive loss during the three months ended September 30, 2017 or 2018, nor does it believe that OTTI exists in its portfolio as of</w:t>
      </w:r>
    </w:p>
    <w:p>
      <w:pPr>
        <w:jc w:val="both"/>
        <w:ind w:right="80"/>
        <w:spacing w:after="0" w:line="254" w:lineRule="auto"/>
        <w:rPr>
          <w:sz w:val="20"/>
          <w:szCs w:val="20"/>
          <w:color w:val="auto"/>
        </w:rPr>
      </w:pPr>
      <w:r>
        <w:rPr>
          <w:rFonts w:ascii="Arial" w:cs="Arial" w:eastAsia="Arial" w:hAnsi="Arial"/>
          <w:sz w:val="18"/>
          <w:szCs w:val="18"/>
          <w:color w:val="auto"/>
        </w:rPr>
        <w:t>September 30, 2018. The Company plans to retain the securities in an unrealized loss position for a period of time sufficient enough to recover their amortized cost basis or until their maturity date. The Company believes that the unrealized losses on these securities were not due to deterioration in credit risk. The securities in an unrealized loss position held an A-1 rating or better as of September 30, 2018.</w:t>
      </w:r>
    </w:p>
    <w:p>
      <w:pPr>
        <w:spacing w:after="0" w:line="19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Company did not make any material reclassification adjustments out of accumulated other comprehensive loss for realized gains and losses on the sale of available-for-sale securities during the three months ended September 30, 2017 or 2018. Gross realized gains and losses on the sale of available-for-sale securities were immaterial for both the three months ended September 30, 2017 and 2018.</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Expected maturities of available-for-sale securities at September 30, 2018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3420" w:type="dxa"/>
            <w:vAlign w:val="bottom"/>
            <w:tcBorders>
              <w:bottom w:val="single" w:sz="8" w:color="CCEEFF"/>
            </w:tcBorders>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3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126,062</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One year to two years</w:t>
            </w: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16,028</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Two years to three years</w:t>
            </w:r>
          </w:p>
        </w:tc>
        <w:tc>
          <w:tcPr>
            <w:tcW w:w="36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7"/>
        </w:trPr>
        <w:tc>
          <w:tcPr>
            <w:tcW w:w="342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3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143,756</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143,595</w:t>
            </w:r>
          </w:p>
        </w:tc>
        <w:tc>
          <w:tcPr>
            <w:tcW w:w="0" w:type="dxa"/>
            <w:vAlign w:val="bottom"/>
          </w:tcPr>
          <w:p>
            <w:pPr>
              <w:spacing w:after="0"/>
              <w:rPr>
                <w:sz w:val="1"/>
                <w:szCs w:val="1"/>
                <w:color w:val="auto"/>
              </w:rPr>
            </w:pPr>
          </w:p>
        </w:tc>
      </w:tr>
      <w:tr>
        <w:trPr>
          <w:trHeight w:val="432"/>
        </w:trPr>
        <w:tc>
          <w:tcPr>
            <w:tcW w:w="3420" w:type="dxa"/>
            <w:vAlign w:val="bottom"/>
          </w:tcPr>
          <w:p>
            <w:pPr>
              <w:spacing w:after="0"/>
              <w:rPr>
                <w:sz w:val="24"/>
                <w:szCs w:val="24"/>
                <w:color w:val="auto"/>
              </w:rPr>
            </w:pPr>
          </w:p>
        </w:tc>
        <w:tc>
          <w:tcPr>
            <w:tcW w:w="3660" w:type="dxa"/>
            <w:vAlign w:val="bottom"/>
          </w:tcPr>
          <w:p>
            <w:pPr>
              <w:jc w:val="right"/>
              <w:ind w:right="237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42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The Company applies the fair value measurement and disclosure provisions of ASC 820, Fair Value Measurements and Disclosures, and ASU 2011-04, </w:t>
      </w:r>
      <w:r>
        <w:rPr>
          <w:rFonts w:ascii="Arial" w:cs="Arial" w:eastAsia="Arial" w:hAnsi="Arial"/>
          <w:sz w:val="18"/>
          <w:szCs w:val="18"/>
          <w:i w:val="1"/>
          <w:iCs w:val="1"/>
          <w:color w:val="auto"/>
        </w:rPr>
        <w:t>Fair Value Measurement (Topic 820): Amendments to Achieve Common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 Requirements in U.S. GAAP and IFRS</w:t>
      </w:r>
      <w:r>
        <w:rPr>
          <w:rFonts w:ascii="Arial" w:cs="Arial" w:eastAsia="Arial" w:hAnsi="Arial"/>
          <w:sz w:val="18"/>
          <w:szCs w:val="18"/>
          <w:color w:val="auto"/>
        </w:rPr>
        <w:t>. Fair value is defined as the price that would be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9" w:lineRule="exact"/>
        <w:rPr>
          <w:sz w:val="20"/>
          <w:szCs w:val="20"/>
          <w:color w:val="auto"/>
        </w:rPr>
      </w:pPr>
    </w:p>
    <w:p>
      <w:pPr>
        <w:ind w:left="980" w:hanging="329"/>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ind w:left="980" w:hanging="329"/>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980" w:right="40" w:hanging="329"/>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81"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Company measures certain cash and cash equivalents, accounts receivable, accounts payable and client fund obligations at fair value on a recurring basis using Level 1 inputs. The Company considers the recorded value of these financial assets and liabilities to approximate the fair value of the respective assets and liabilities at June 30, 2018 and September 30, 2018 based upon the short-term nature of these assets and liabilities.</w:t>
      </w:r>
    </w:p>
    <w:p>
      <w:pPr>
        <w:spacing w:after="0" w:line="17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and U.S. treasury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2018 or September 30, 2018, and the Company did not transfer assets between Levels during the three months ended September 30, 2017 or 2018.</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fair value level for the Company’s cash and cash equivalents and available-for-sale securities is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June 30, 2018</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3</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1,102,538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1,076,414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39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50,702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50,702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37,382</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25,847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25,847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8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9,877</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8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123,808</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123,808</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1,363,539</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1,213,607</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149,932</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635"/>
        </w:trPr>
        <w:tc>
          <w:tcPr>
            <w:tcW w:w="3980" w:type="dxa"/>
            <w:vAlign w:val="bottom"/>
          </w:tcPr>
          <w:p>
            <w:pPr>
              <w:spacing w:after="0"/>
              <w:rPr>
                <w:sz w:val="24"/>
                <w:szCs w:val="24"/>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29"/>
        </w:trPr>
        <w:tc>
          <w:tcPr>
            <w:tcW w:w="39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42"/>
        </w:trPr>
        <w:tc>
          <w:tcPr>
            <w:tcW w:w="41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3</w:t>
            </w: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Funds held for clients' cash and cash equivalents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1,046,691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1,018,208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414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56,634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56,634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bonds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38,671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38,671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ind w:left="50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securities</w:t>
            </w:r>
          </w:p>
        </w:tc>
        <w:tc>
          <w:tcPr>
            <w:tcW w:w="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16,102</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16,102</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3"/>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available-for-sale securities</w:t>
            </w:r>
          </w:p>
        </w:tc>
        <w:tc>
          <w:tcPr>
            <w:tcW w:w="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143,595</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143,595</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r>
      <w:tr>
        <w:trPr>
          <w:trHeight w:val="217"/>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1,253,948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1,078,423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175,525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Company began investing corporate funds in available-for-sale securities during the first quarter of fiscal 2019 and as a result, reclassified $732 as of June 30, 2018 from prepaid expenses and other on the unaudited consolidated balance sheets to corporate investments for comparability purposes in order to conform to the current year’s presentation.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Benefit Plans</w:t>
      </w:r>
    </w:p>
    <w:p>
      <w:pPr>
        <w:spacing w:after="0" w:line="229" w:lineRule="exact"/>
        <w:rPr>
          <w:sz w:val="20"/>
          <w:szCs w:val="20"/>
          <w:color w:val="auto"/>
        </w:rPr>
      </w:pPr>
    </w:p>
    <w:p>
      <w:pPr>
        <w:ind w:left="300" w:hanging="297"/>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will increase automatically each calendar year, continuing through and including January 1, 2024. The number of shares added each year will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6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September 30, 2018, the Company had 13,295 shares allocated to the plans, of which 3,646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 summarizes changes in the number of shares available for grant under the Company’s equity incentive plans during the three months ended September 30,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Number of</w:t>
            </w:r>
          </w:p>
        </w:tc>
      </w:tr>
      <w:tr>
        <w:trPr>
          <w:trHeight w:val="171"/>
        </w:trPr>
        <w:tc>
          <w:tcPr>
            <w:tcW w:w="80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r>
      <w:tr>
        <w:trPr>
          <w:trHeight w:val="210"/>
        </w:trPr>
        <w:tc>
          <w:tcPr>
            <w:tcW w:w="8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2018</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RSUs granted</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(715)</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Forfeitures</w:t>
            </w: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Shares removed</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r>
      <w:tr>
        <w:trPr>
          <w:trHeight w:val="217"/>
        </w:trPr>
        <w:tc>
          <w:tcPr>
            <w:tcW w:w="8080" w:type="dxa"/>
            <w:vAlign w:val="bottom"/>
          </w:tcPr>
          <w:p>
            <w:pPr>
              <w:spacing w:after="0"/>
              <w:rPr>
                <w:sz w:val="20"/>
                <w:szCs w:val="20"/>
                <w:color w:val="auto"/>
              </w:rPr>
            </w:pPr>
            <w:r>
              <w:rPr>
                <w:rFonts w:ascii="Arial" w:cs="Arial" w:eastAsia="Arial" w:hAnsi="Arial"/>
                <w:sz w:val="18"/>
                <w:szCs w:val="18"/>
                <w:color w:val="auto"/>
              </w:rPr>
              <w:t>Available for grant at September 30, 2018</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9,649</w:t>
            </w: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Stock-based compensation expense related to stock options, restricted stock units (“RSUs”), and the Employee Stock Purchase Plan (as described below) is included in the following line items in the accompanying unaudited consolidated statements of operations and comprehensive income:</w:t>
      </w:r>
    </w:p>
    <w:p>
      <w:pPr>
        <w:spacing w:after="0" w:line="186"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Three Months Ended</w:t>
      </w:r>
    </w:p>
    <w:p>
      <w:pPr>
        <w:ind w:left="77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3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 recurring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6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Cost of revenue – non-recurring</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6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1,278</w:t>
            </w:r>
          </w:p>
        </w:tc>
        <w:tc>
          <w:tcPr>
            <w:tcW w:w="6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60" w:type="dxa"/>
            <w:vAlign w:val="bottom"/>
            <w:shd w:val="clear" w:color="auto" w:fill="CCEEFF"/>
          </w:tcPr>
          <w:p>
            <w:pPr>
              <w:spacing w:after="0"/>
              <w:rPr>
                <w:sz w:val="18"/>
                <w:szCs w:val="18"/>
                <w:color w:val="auto"/>
              </w:rPr>
            </w:pPr>
          </w:p>
        </w:tc>
      </w:tr>
      <w:tr>
        <w:trPr>
          <w:trHeight w:val="217"/>
        </w:trPr>
        <w:tc>
          <w:tcPr>
            <w:tcW w:w="73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6,606</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9,425</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In addition, the Company capitalized $433 and $625 of stock-based compensation expense in its capitalized internal-use software costs in the three months ended September 30, 2017 and 2018, respectively.</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Under the 2008 and 2014 Plans, the exercise price of each option cannot be less than the fair value of a share of common stock on the grant date.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There were no stock options granted during the three months ended September 30, 2017 or 2018. The table below presents stock option activity during the three months ended September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Outstanding Options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1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Weighted</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exercise</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482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price</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term (years)</w:t>
            </w: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2018</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Options forfeited</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35.28</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September 30,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12.40</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4.76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117,089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at September 30, 2018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115,856</w:t>
            </w: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line="203" w:lineRule="exact"/>
              <w:rPr>
                <w:sz w:val="20"/>
                <w:szCs w:val="20"/>
                <w:color w:val="auto"/>
              </w:rPr>
            </w:pPr>
            <w:r>
              <w:rPr>
                <w:rFonts w:ascii="Arial" w:cs="Arial" w:eastAsia="Arial" w:hAnsi="Arial"/>
                <w:sz w:val="18"/>
                <w:szCs w:val="18"/>
                <w:color w:val="auto"/>
              </w:rPr>
              <w:t>Options vested and expected to vest at September 30, 2018</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1,723</w:t>
            </w:r>
          </w:p>
        </w:tc>
        <w:tc>
          <w:tcPr>
            <w:tcW w:w="100" w:type="dxa"/>
            <w:vAlign w:val="bottom"/>
          </w:tcPr>
          <w:p>
            <w:pPr>
              <w:spacing w:after="0"/>
              <w:rPr>
                <w:sz w:val="18"/>
                <w:szCs w:val="18"/>
                <w:color w:val="auto"/>
              </w:rPr>
            </w:pP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12.38</w:t>
            </w:r>
          </w:p>
        </w:tc>
        <w:tc>
          <w:tcPr>
            <w:tcW w:w="180" w:type="dxa"/>
            <w:vAlign w:val="bottom"/>
          </w:tcPr>
          <w:p>
            <w:pPr>
              <w:spacing w:after="0"/>
              <w:rPr>
                <w:sz w:val="18"/>
                <w:szCs w:val="18"/>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4.75</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117,035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intrinsic value of options exercised was $3,380 and $12,203 during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and 2018, respectively. At September 30, 2018, there was $83 of total unrecognized compensation cost,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of estimated forfeitures, related to unvested stock options granted under the Plan. That cost is expected to be recognized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over a weighted average period of 0.88 years.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The Company may also grant RSUs under the 2014 Plan with terms determined at the discretion of the compensation committee of the Company’s board of directors. RSUs generally vest over four years following the grant date. Certain RSU awards have time-based vesting conditions while other RSUs vest based on the achievement of certain revenue growth and Adjusted EBITDA margin targets in future fiscal years. The following table represents restricted stock unit activity during the three months ended September 30,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220" w:type="dxa"/>
            <w:vAlign w:val="bottom"/>
          </w:tcPr>
          <w:p>
            <w:pPr>
              <w:spacing w:after="0"/>
              <w:rPr>
                <w:sz w:val="12"/>
                <w:szCs w:val="12"/>
                <w:color w:val="auto"/>
              </w:rPr>
            </w:pPr>
          </w:p>
        </w:tc>
        <w:tc>
          <w:tcPr>
            <w:tcW w:w="9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72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2018</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RSUs granted</w:t>
            </w:r>
          </w:p>
        </w:tc>
        <w:tc>
          <w:tcPr>
            <w:tcW w:w="720" w:type="dxa"/>
            <w:vAlign w:val="bottom"/>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forfeited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45.26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September 30, 2018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52.63</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20" w:type="dxa"/>
            <w:vAlign w:val="bottom"/>
          </w:tcPr>
          <w:p>
            <w:pPr>
              <w:spacing w:after="0" w:line="203" w:lineRule="exact"/>
              <w:rPr>
                <w:sz w:val="20"/>
                <w:szCs w:val="20"/>
                <w:color w:val="auto"/>
              </w:rPr>
            </w:pPr>
            <w:r>
              <w:rPr>
                <w:rFonts w:ascii="Arial" w:cs="Arial" w:eastAsia="Arial" w:hAnsi="Arial"/>
                <w:sz w:val="18"/>
                <w:szCs w:val="18"/>
                <w:color w:val="auto"/>
              </w:rPr>
              <w:t>RSUs expected to vest at September 30, 2018</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1,724</w:t>
            </w:r>
          </w:p>
        </w:tc>
        <w:tc>
          <w:tcPr>
            <w:tcW w:w="220" w:type="dxa"/>
            <w:vAlign w:val="bottom"/>
          </w:tcPr>
          <w:p>
            <w:pPr>
              <w:spacing w:after="0"/>
              <w:rPr>
                <w:sz w:val="18"/>
                <w:szCs w:val="18"/>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52.45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At September 30, 2018, there was $62,022 of total unrecognized compensation cost, net of estimated forfeitures, related to unvested restricted stock units granted. That cost is expected to be recognized over a weighted average period of 2.09 years.</w:t>
      </w:r>
    </w:p>
    <w:p>
      <w:pPr>
        <w:spacing w:after="0" w:line="181" w:lineRule="exact"/>
        <w:rPr>
          <w:sz w:val="20"/>
          <w:szCs w:val="20"/>
          <w:color w:val="auto"/>
        </w:rPr>
      </w:pPr>
    </w:p>
    <w:p>
      <w:pPr>
        <w:ind w:left="300" w:hanging="297"/>
        <w:spacing w:after="0"/>
        <w:tabs>
          <w:tab w:leader="none" w:pos="3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7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As of September 30, 2018, a total of 1,111 shares of common stock were reserved for future issuances under the ESPP. The number of shares of common stock reserved for issuance under the ESPP will increase automatically each calendar year, continuing through and including January 1, 2024. The number of shares added each year will be equal to the lesser of (a) 400, (b) seventy-five one hundredths percent (0.75%) of the number of shares of common stock of the Company issued and outstanding on the immediately preceding December 31, or (c) an amount determined by the Company’s board of directors.</w:t>
      </w:r>
    </w:p>
    <w:p>
      <w:pPr>
        <w:spacing w:after="0" w:line="193"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Company recorded compensation expense attributable to the ESPP of $339 and $439 for the three months ended September 30, 2017 and 2018, respectively, which is included in the summary of stock-based compensation expense above. The grant date fair value of the ESPP offering periods was estimated using the following weighted average assumptions: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2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r>
      <w:tr>
        <w:trPr>
          <w:trHeight w:val="215"/>
        </w:trPr>
        <w:tc>
          <w:tcPr>
            <w:tcW w:w="31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4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w w:val="89"/>
              </w:rPr>
              <w:t>September 30,</w:t>
            </w:r>
          </w:p>
        </w:tc>
        <w:tc>
          <w:tcPr>
            <w:tcW w:w="5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100" w:type="dxa"/>
            <w:vAlign w:val="bottom"/>
          </w:tcPr>
          <w:p>
            <w:pPr>
              <w:spacing w:after="0"/>
              <w:rPr>
                <w:sz w:val="18"/>
                <w:szCs w:val="18"/>
                <w:color w:val="auto"/>
              </w:rPr>
            </w:pPr>
          </w:p>
        </w:tc>
        <w:tc>
          <w:tcPr>
            <w:tcW w:w="4620" w:type="dxa"/>
            <w:vAlign w:val="bottom"/>
            <w:gridSpan w:val="2"/>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ind w:right="214"/>
              <w:spacing w:after="0"/>
              <w:rPr>
                <w:sz w:val="20"/>
                <w:szCs w:val="20"/>
                <w:color w:val="auto"/>
              </w:rPr>
            </w:pPr>
            <w:r>
              <w:rPr>
                <w:rFonts w:ascii="Arial" w:cs="Arial" w:eastAsia="Arial" w:hAnsi="Arial"/>
                <w:sz w:val="14"/>
                <w:szCs w:val="14"/>
                <w:b w:val="1"/>
                <w:bCs w:val="1"/>
                <w:color w:val="auto"/>
                <w:w w:val="83"/>
              </w:rPr>
              <w:t>2018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37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900" w:type="dxa"/>
            <w:vAlign w:val="bottom"/>
            <w:gridSpan w:val="3"/>
          </w:tcPr>
          <w:p>
            <w:pPr>
              <w:jc w:val="right"/>
              <w:ind w:right="120"/>
              <w:spacing w:after="0"/>
              <w:rPr>
                <w:sz w:val="20"/>
                <w:szCs w:val="20"/>
                <w:color w:val="auto"/>
              </w:rPr>
            </w:pPr>
            <w:r>
              <w:rPr>
                <w:rFonts w:ascii="Arial" w:cs="Arial" w:eastAsia="Arial" w:hAnsi="Arial"/>
                <w:sz w:val="18"/>
                <w:szCs w:val="18"/>
                <w:color w:val="auto"/>
              </w:rPr>
              <w:t>0 %</w:t>
            </w:r>
          </w:p>
        </w:tc>
        <w:tc>
          <w:tcPr>
            <w:tcW w:w="3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0 %</w:t>
            </w:r>
          </w:p>
        </w:tc>
        <w:tc>
          <w:tcPr>
            <w:tcW w:w="80" w:type="dxa"/>
            <w:vAlign w:val="bottom"/>
          </w:tcPr>
          <w:p>
            <w:pPr>
              <w:spacing w:after="0"/>
              <w:rPr>
                <w:sz w:val="19"/>
                <w:szCs w:val="19"/>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39.1 %</w:t>
            </w: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33.5 %</w:t>
            </w:r>
          </w:p>
        </w:tc>
        <w:tc>
          <w:tcPr>
            <w:tcW w:w="80" w:type="dxa"/>
            <w:vAlign w:val="bottom"/>
            <w:shd w:val="clear" w:color="auto" w:fill="CCEEFF"/>
          </w:tcPr>
          <w:p>
            <w:pPr>
              <w:spacing w:after="0"/>
              <w:rPr>
                <w:sz w:val="19"/>
                <w:szCs w:val="19"/>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Expected term (years)</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10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4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1.02 %</w:t>
            </w: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r>
      <w:tr>
        <w:trPr>
          <w:trHeight w:val="648"/>
        </w:trPr>
        <w:tc>
          <w:tcPr>
            <w:tcW w:w="3100" w:type="dxa"/>
            <w:vAlign w:val="bottom"/>
          </w:tcPr>
          <w:p>
            <w:pPr>
              <w:spacing w:after="0"/>
              <w:rPr>
                <w:sz w:val="24"/>
                <w:szCs w:val="24"/>
                <w:color w:val="auto"/>
              </w:rPr>
            </w:pPr>
          </w:p>
        </w:tc>
        <w:tc>
          <w:tcPr>
            <w:tcW w:w="3760" w:type="dxa"/>
            <w:vAlign w:val="bottom"/>
          </w:tcPr>
          <w:p>
            <w:pPr>
              <w:jc w:val="right"/>
              <w:ind w:right="2153"/>
              <w:spacing w:after="0"/>
              <w:rPr>
                <w:sz w:val="20"/>
                <w:szCs w:val="20"/>
                <w:color w:val="auto"/>
              </w:rPr>
            </w:pPr>
            <w:r>
              <w:rPr>
                <w:rFonts w:ascii="Arial" w:cs="Arial" w:eastAsia="Arial" w:hAnsi="Arial"/>
                <w:sz w:val="18"/>
                <w:szCs w:val="18"/>
                <w:color w:val="auto"/>
              </w:rPr>
              <w:t>19</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310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ectPr>
          <w:pgSz w:w="11900" w:h="16838" w:orient="portrait"/>
          <w:cols w:equalWidth="0" w:num="1">
            <w:col w:w="9140"/>
          </w:cols>
          <w:pgMar w:left="1420" w:top="125" w:right="13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00" w:hanging="297"/>
        <w:spacing w:after="0"/>
        <w:tabs>
          <w:tab w:leader="none" w:pos="3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maintains a 401(k) plan with a matching provision that covers all eligible employees. The Company matches 50% of employees’ contributions up to 8% of their gross pay. Contributions were $1,111 and $1,394 for the three months ended September 30, 2017 and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Income Per Share</w:t>
      </w:r>
    </w:p>
    <w:p>
      <w:pPr>
        <w:spacing w:after="0" w:line="229" w:lineRule="exact"/>
        <w:rPr>
          <w:sz w:val="20"/>
          <w:szCs w:val="20"/>
          <w:color w:val="auto"/>
        </w:rPr>
      </w:pPr>
    </w:p>
    <w:p>
      <w:pPr>
        <w:ind w:firstLine="648"/>
        <w:spacing w:after="0" w:line="219" w:lineRule="exact"/>
        <w:rPr>
          <w:sz w:val="20"/>
          <w:szCs w:val="20"/>
          <w:color w:val="auto"/>
        </w:rPr>
      </w:pPr>
      <w:r>
        <w:rPr>
          <w:rFonts w:ascii="Arial" w:cs="Arial" w:eastAsia="Arial" w:hAnsi="Arial"/>
          <w:sz w:val="17"/>
          <w:szCs w:val="17"/>
          <w:color w:val="auto"/>
        </w:rPr>
        <w:t>Basic net income per common share is computed using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common shares outstanding during the period. Diluted net income per share is computed using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 The following table presents the calculation of basic and diluted net income per share:</w:t>
      </w:r>
    </w:p>
    <w:p>
      <w:pPr>
        <w:spacing w:after="0" w:line="208"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Three Months Ended</w:t>
      </w:r>
    </w:p>
    <w:p>
      <w:pPr>
        <w:ind w:left="77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543</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9,852</w:t>
            </w: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Denominator:</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income per share: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51,893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52,865</w:t>
            </w: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effect of potentially dilutive shares: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4"/>
              </w:rPr>
              <w:t>Employee stock options, restricted stock units and employee stock purchase plan shares</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w:t>
            </w:r>
          </w:p>
        </w:tc>
        <w:tc>
          <w:tcPr>
            <w:tcW w:w="40" w:type="dxa"/>
            <w:vAlign w:val="bottom"/>
            <w:tcBorders>
              <w:bottom w:val="single" w:sz="8" w:color="CCEEFF"/>
            </w:tcBorders>
          </w:tcPr>
          <w:p>
            <w:pPr>
              <w:spacing w:after="0"/>
              <w:rPr>
                <w:sz w:val="18"/>
                <w:szCs w:val="18"/>
                <w:color w:val="auto"/>
              </w:rPr>
            </w:pPr>
          </w:p>
        </w:tc>
      </w:tr>
      <w:tr>
        <w:trPr>
          <w:trHeight w:val="210"/>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54,610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55,487</w:t>
            </w: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Basic</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0.19</w:t>
            </w:r>
          </w:p>
        </w:tc>
        <w:tc>
          <w:tcPr>
            <w:tcW w:w="40" w:type="dxa"/>
            <w:vAlign w:val="bottom"/>
          </w:tcPr>
          <w:p>
            <w:pPr>
              <w:spacing w:after="0"/>
              <w:rPr>
                <w:sz w:val="18"/>
                <w:szCs w:val="18"/>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40" w:type="dxa"/>
            <w:vAlign w:val="bottom"/>
            <w:shd w:val="clear" w:color="auto" w:fill="CCEEFF"/>
          </w:tcPr>
          <w:p>
            <w:pPr>
              <w:spacing w:after="0"/>
              <w:rPr>
                <w:sz w:val="18"/>
                <w:szCs w:val="18"/>
                <w:color w:val="auto"/>
              </w:rPr>
            </w:pPr>
          </w:p>
        </w:tc>
      </w:tr>
    </w:tbl>
    <w:p>
      <w:pPr>
        <w:spacing w:after="0" w:line="134"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Company excluded 816 and 687 outstanding RSUs from the diluted per share calculations during the three months ended September 30, 2017 and 2018, respectively, because to include them would have been anti-dilutive.</w:t>
      </w:r>
    </w:p>
    <w:p>
      <w:pPr>
        <w:spacing w:after="0" w:line="124"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color w:val="auto"/>
        </w:rPr>
        <w:t>In August 2018, the Company announced that its board of directors approved a program to repurchase up to $35,000 of the Company’s common stock, with authorization through August 14, 2019. During the three months ended</w:t>
      </w:r>
    </w:p>
    <w:p>
      <w:pPr>
        <w:ind w:right="100"/>
        <w:spacing w:after="0" w:line="261" w:lineRule="auto"/>
        <w:rPr>
          <w:sz w:val="20"/>
          <w:szCs w:val="20"/>
          <w:color w:val="auto"/>
        </w:rPr>
      </w:pPr>
      <w:r>
        <w:rPr>
          <w:rFonts w:ascii="Arial" w:cs="Arial" w:eastAsia="Arial" w:hAnsi="Arial"/>
          <w:sz w:val="18"/>
          <w:szCs w:val="18"/>
          <w:color w:val="auto"/>
        </w:rPr>
        <w:t>September 30, 2018, the Company completed the repurchase program and repurchased 442 shares for $34,991. All shares of common stock repurchased were retired.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ind w:right="60" w:firstLine="713"/>
        <w:spacing w:after="0" w:line="259" w:lineRule="auto"/>
        <w:rPr>
          <w:sz w:val="20"/>
          <w:szCs w:val="20"/>
          <w:color w:val="auto"/>
        </w:rPr>
      </w:pPr>
      <w:r>
        <w:rPr>
          <w:rFonts w:ascii="Arial" w:cs="Arial" w:eastAsia="Arial" w:hAnsi="Arial"/>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87" w:lineRule="exact"/>
        <w:rPr>
          <w:sz w:val="20"/>
          <w:szCs w:val="20"/>
          <w:color w:val="auto"/>
        </w:rPr>
      </w:pPr>
    </w:p>
    <w:p>
      <w:pPr>
        <w:ind w:right="100" w:firstLine="713"/>
        <w:spacing w:after="0" w:line="297" w:lineRule="auto"/>
        <w:rPr>
          <w:sz w:val="20"/>
          <w:szCs w:val="20"/>
          <w:color w:val="auto"/>
        </w:rPr>
      </w:pPr>
      <w:r>
        <w:rPr>
          <w:rFonts w:ascii="Arial" w:cs="Arial" w:eastAsia="Arial" w:hAnsi="Arial"/>
          <w:sz w:val="16"/>
          <w:szCs w:val="16"/>
          <w:color w:val="auto"/>
        </w:rPr>
        <w:t>The Company recorded income tax expense (benefit) of $81 and $(5,807) for the three months ended September 30, 2017 and 2018, respectively. The Company’s effective tax rates for the three months ended September 30, 2017 differed from statutory rates primarily due to the existence of a valuation allowance recorded against the preponderance of the net deferred tax assets. The Company’s effective tax rate for the three months ended September 30, 2018 differed from statutory rates primarily due to excess tax benefits from employee stock exercises partially offset by various permanent adjustments.</w:t>
      </w:r>
    </w:p>
    <w:p>
      <w:pPr>
        <w:spacing w:after="0" w:line="158" w:lineRule="exact"/>
        <w:rPr>
          <w:sz w:val="20"/>
          <w:szCs w:val="20"/>
          <w:color w:val="auto"/>
        </w:rPr>
      </w:pPr>
    </w:p>
    <w:p>
      <w:pPr>
        <w:jc w:val="both"/>
        <w:ind w:right="40" w:firstLine="713"/>
        <w:spacing w:after="0" w:line="286" w:lineRule="auto"/>
        <w:rPr>
          <w:sz w:val="20"/>
          <w:szCs w:val="20"/>
          <w:color w:val="auto"/>
        </w:rPr>
      </w:pPr>
      <w:r>
        <w:rPr>
          <w:rFonts w:ascii="Arial" w:cs="Arial" w:eastAsia="Arial" w:hAnsi="Arial"/>
          <w:sz w:val="17"/>
          <w:szCs w:val="17"/>
          <w:color w:val="auto"/>
        </w:rPr>
        <w:t>The Company reviews the likelihood that it will realize the benefit of its deferred tax assets and, therefore, the need for a valuation allowance on a quarterly basis. The Company established a valuation allowance in fiscal 2014 on all of its net deferred tax assets except for deferred tax liabilities associated with indefinite-lived intangible assets, given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that the Company determined that it was more likely than not that the Company would not recognize the benefits of its net operating loss carryforwards prior to their expiration. The Company continued to record a valuation allowance through the first six months of fiscal 2018. In the third quarter of fiscal 2018, management concluded that all of the valuation allowance for the Company’s U.S. federal deferred tax assets and substantially all state deferred tax assets was no longer needed. This was primarily due to three years’ cumulative income through the third quarter of fiscal 2018 and the forecast of future taxable income. As of March 31, 2018, based on the evaluation of positive and negative evidence, management believed it was more likely than not that the net deferred tax assets would be realized for all federal and state purposes with the exception of deferred tax assets associated with certain state tax credits that have a limited carryforward period. As of September 30, 2018, the Company continued to maintain a valuation allowance of $355 for state tax benefits. Such assessment may change in the future as further evidence becomes available.</w:t>
      </w:r>
    </w:p>
    <w:p>
      <w:pPr>
        <w:spacing w:after="0" w:line="178" w:lineRule="exact"/>
        <w:rPr>
          <w:sz w:val="20"/>
          <w:szCs w:val="20"/>
          <w:color w:val="auto"/>
        </w:rPr>
      </w:pPr>
    </w:p>
    <w:p>
      <w:pPr>
        <w:ind w:right="40" w:firstLine="713"/>
        <w:spacing w:after="0" w:line="302" w:lineRule="auto"/>
        <w:rPr>
          <w:sz w:val="20"/>
          <w:szCs w:val="20"/>
          <w:color w:val="auto"/>
        </w:rPr>
      </w:pPr>
      <w:r>
        <w:rPr>
          <w:rFonts w:ascii="Arial" w:cs="Arial" w:eastAsia="Arial" w:hAnsi="Arial"/>
          <w:sz w:val="16"/>
          <w:szCs w:val="16"/>
          <w:color w:val="auto"/>
        </w:rPr>
        <w:t>On December 22, 2017, the Tax Cuts and Jobs Act of 2017 was signed into law. Over the long term, the Company generally expects to benefit from the lower statutory rates provided by the Act. The Company operates solely in the United States; therefore, the international provisions of the Act do not apply. In accordance with ASC 740, during the second quarter of fiscal 2018, the Company modified its current federal statutory rate for the year to account for the rate change.</w:t>
      </w:r>
    </w:p>
    <w:p>
      <w:pPr>
        <w:spacing w:after="0" w:line="154" w:lineRule="exact"/>
        <w:rPr>
          <w:sz w:val="20"/>
          <w:szCs w:val="20"/>
          <w:color w:val="auto"/>
        </w:rPr>
      </w:pPr>
    </w:p>
    <w:p>
      <w:pPr>
        <w:ind w:right="80" w:firstLine="713"/>
        <w:spacing w:after="0" w:line="290" w:lineRule="auto"/>
        <w:rPr>
          <w:sz w:val="20"/>
          <w:szCs w:val="20"/>
          <w:color w:val="auto"/>
        </w:rPr>
      </w:pPr>
      <w:r>
        <w:rPr>
          <w:rFonts w:ascii="Arial" w:cs="Arial" w:eastAsia="Arial" w:hAnsi="Arial"/>
          <w:sz w:val="16"/>
          <w:szCs w:val="16"/>
          <w:color w:val="auto"/>
        </w:rPr>
        <w:t>In December 2017, the staff of the SEC issued guidance under Staff Accounting Bulletin No. 118 (later codified into ASU 2018-05), “Income Tax Accounting Implications of the Tax Cuts and Jobs Act,” allowing taxpayers to record provisional amounts for reasonable estimates when they do not have the necessary information available, prepared or analyzed in reasonable detail to complete their accounting for certain income tax effects of the Tax Act. The SEC also issued rules that would allow for a measurement period of up to one year after the enactment date of the Tax Act to finalize the related tax impacts. The Company’s analysis is complete except for provisional amounts that were determined in accordance with ASU 2018-05 related to certain equity compensation agreements. However, any changes as a result of further guidance related to this topic are not expected to have a material impact on the provisional amounts.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II, Item 1A: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We are a cloud-based provider of payroll and human capital management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human resource, payroll and finance capabilities of our clients.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300 related third-party systems, such as 401(k), benefits and insurance provider systems.</w:t>
      </w:r>
    </w:p>
    <w:p>
      <w:pPr>
        <w:spacing w:after="0" w:line="15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functionalities. We have invested in, and we intend to continue to invest in, research and development to expand our product offerings and advance our platform.</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mid-market organizations. We expect to continue to invest in and grow our implementation and client service organization as our client base grows.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2" w:lineRule="exact"/>
        <w:rPr>
          <w:sz w:val="20"/>
          <w:szCs w:val="20"/>
          <w:color w:val="auto"/>
        </w:rPr>
      </w:pPr>
    </w:p>
    <w:p>
      <w:pPr>
        <w:ind w:right="220" w:firstLine="648"/>
        <w:spacing w:after="0" w:line="312" w:lineRule="auto"/>
        <w:rPr>
          <w:sz w:val="20"/>
          <w:szCs w:val="20"/>
          <w:color w:val="auto"/>
        </w:rPr>
      </w:pPr>
      <w:r>
        <w:rPr>
          <w:rFonts w:ascii="Arial" w:cs="Arial" w:eastAsia="Arial" w:hAnsi="Arial"/>
          <w:sz w:val="16"/>
          <w:szCs w:val="16"/>
          <w:color w:val="auto"/>
        </w:rPr>
        <w:t>As our business has grown, we have become increasingly subject to the risks arising from adverse changes in domestic and global economic conditions. If general economic conditions were to deteriorate, including declines in private sector employment growth and business productivity, increases in the unemployment rate and changes in interest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rates, we may experience delays in our sales cycles, increased pressure from prospective customers to offer discounts and increased pressure from existing customers to renew expiring recurring revenue agreements for lower amounts.</w:t>
      </w:r>
    </w:p>
    <w:p>
      <w:pPr>
        <w:spacing w:after="0" w:line="12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Paylocity Holding Corporation is a Delaware corporation, which was formed in November 2013. Our business operations, excluding interest earned on certain cash holdings and expenses associated with certain secondary stock offerings, have historically been, and are currently, conducted by its wholly owned subsidiaries, and the financial results presented herein are entirely attributable to the results of such wholly owned subsidiaries’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 Growth</w:t>
      </w:r>
    </w:p>
    <w:p>
      <w:pPr>
        <w:spacing w:after="0" w:line="22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$78.9 million for the three months ended September 30, 2017 to $99.3 million for the three months ended September 30, 2018, representing a 26% year-over-year increase. Recurring revenue represented 97% and 99% of total revenue during the three months ended September 30, 2017 and 2018,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Adjusted Recurring Gross Profit and Adjusted EBITDA</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73"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income or cash provided by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16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define Adjusted Gross Profit as gross profit before amortization of capitalized internal-use software costs, stock-based compensation expense and employer payroll taxes related to stock releases and option exercises. We define Adjusted Recurring Gross Profit as total recurring revenues after cost of recurring revenues and before amortization of capitalized internal-use software costs, stock-based compensation expense and employer payroll taxes related to stock releases and option exercises. We define Adjusted EBITDA as net income before interest expense, income tax expense (benefit), depreciation and amortization expense and stock-based compensation expense and employer payroll taxes related to stock releases and option exercises. The table below sets forth our Adjusted Gross Profit, Adjusted Recurring Gross Profit and Adjusted EBITDA for the periods presented.</w:t>
      </w:r>
    </w:p>
    <w:p>
      <w:pPr>
        <w:spacing w:after="0" w:line="184"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Three Months Ended</w:t>
      </w:r>
    </w:p>
    <w:p>
      <w:pPr>
        <w:ind w:left="76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3"/>
          </w:tcPr>
          <w:p>
            <w:pPr>
              <w:jc w:val="right"/>
              <w:ind w:right="334"/>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4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8"/>
              </w:rPr>
              <w:t>51,111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70,370</w:t>
            </w:r>
          </w:p>
        </w:tc>
        <w:tc>
          <w:tcPr>
            <w:tcW w:w="60" w:type="dxa"/>
            <w:vAlign w:val="bottom"/>
            <w:shd w:val="clear" w:color="auto" w:fill="CCEEFF"/>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Adjusted Recurring Gross Profit</w:t>
            </w:r>
          </w:p>
        </w:tc>
        <w:tc>
          <w:tcPr>
            <w:tcW w:w="4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7"/>
              <w:spacing w:after="0"/>
              <w:rPr>
                <w:sz w:val="20"/>
                <w:szCs w:val="20"/>
                <w:color w:val="auto"/>
              </w:rPr>
            </w:pPr>
            <w:r>
              <w:rPr>
                <w:rFonts w:ascii="Arial" w:cs="Arial" w:eastAsia="Arial" w:hAnsi="Arial"/>
                <w:sz w:val="18"/>
                <w:szCs w:val="18"/>
                <w:color w:val="auto"/>
                <w:w w:val="98"/>
              </w:rPr>
              <w:t>58,946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75,328</w:t>
            </w: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8"/>
              </w:rPr>
              <w:t>14,592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23,263</w:t>
            </w:r>
          </w:p>
        </w:tc>
        <w:tc>
          <w:tcPr>
            <w:tcW w:w="60" w:type="dxa"/>
            <w:vAlign w:val="bottom"/>
            <w:shd w:val="clear" w:color="auto" w:fill="CCEEFF"/>
          </w:tcPr>
          <w:p>
            <w:pPr>
              <w:spacing w:after="0"/>
              <w:rPr>
                <w:sz w:val="18"/>
                <w:szCs w:val="18"/>
                <w:color w:val="auto"/>
              </w:rPr>
            </w:pPr>
          </w:p>
        </w:tc>
      </w:tr>
      <w:tr>
        <w:trPr>
          <w:trHeight w:val="648"/>
        </w:trPr>
        <w:tc>
          <w:tcPr>
            <w:tcW w:w="3400" w:type="dxa"/>
            <w:vAlign w:val="bottom"/>
          </w:tcPr>
          <w:p>
            <w:pPr>
              <w:spacing w:after="0"/>
              <w:rPr>
                <w:sz w:val="24"/>
                <w:szCs w:val="24"/>
                <w:color w:val="auto"/>
              </w:rPr>
            </w:pPr>
          </w:p>
        </w:tc>
        <w:tc>
          <w:tcPr>
            <w:tcW w:w="3860" w:type="dxa"/>
            <w:vAlign w:val="bottom"/>
          </w:tcPr>
          <w:p>
            <w:pPr>
              <w:jc w:val="right"/>
              <w:ind w:right="255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3400" w:type="dxa"/>
            <w:vAlign w:val="bottom"/>
            <w:tcBorders>
              <w:bottom w:val="single" w:sz="8" w:color="auto"/>
            </w:tcBorders>
          </w:tcPr>
          <w:p>
            <w:pPr>
              <w:spacing w:after="0"/>
              <w:rPr>
                <w:sz w:val="11"/>
                <w:szCs w:val="11"/>
                <w:color w:val="auto"/>
              </w:rPr>
            </w:pPr>
          </w:p>
        </w:tc>
        <w:tc>
          <w:tcPr>
            <w:tcW w:w="38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81"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Three Months Ended</w:t>
      </w:r>
    </w:p>
    <w:p>
      <w:pPr>
        <w:ind w:left="76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6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tcPr>
          <w:p>
            <w:pPr>
              <w:jc w:val="center"/>
              <w:ind w:right="5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Gross Profit to Adjusted Gross Profit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Gross profit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46,541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64,562</w:t>
            </w:r>
          </w:p>
        </w:tc>
        <w:tc>
          <w:tcPr>
            <w:tcW w:w="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60" w:type="dxa"/>
            <w:vAlign w:val="bottom"/>
            <w:shd w:val="clear" w:color="auto" w:fill="CCEEFF"/>
          </w:tcPr>
          <w:p>
            <w:pPr>
              <w:spacing w:after="0"/>
              <w:rPr>
                <w:sz w:val="18"/>
                <w:szCs w:val="18"/>
                <w:color w:val="auto"/>
              </w:rPr>
            </w:pP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expense and employer payroll taxes related to stock releases and</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 exercises</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60" w:type="dxa"/>
            <w:vAlign w:val="bottom"/>
            <w:tcBorders>
              <w:bottom w:val="single" w:sz="8" w:color="CCEEFF"/>
            </w:tcBorders>
          </w:tcPr>
          <w:p>
            <w:pPr>
              <w:spacing w:after="0"/>
              <w:rPr>
                <w:sz w:val="20"/>
                <w:szCs w:val="20"/>
                <w:color w:val="auto"/>
              </w:rPr>
            </w:pPr>
          </w:p>
        </w:tc>
      </w:tr>
      <w:tr>
        <w:trPr>
          <w:trHeight w:val="217"/>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Gross Profit</w:t>
            </w:r>
          </w:p>
        </w:tc>
        <w:tc>
          <w:tcPr>
            <w:tcW w:w="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51,111</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70,370</w:t>
            </w:r>
          </w:p>
        </w:tc>
        <w:tc>
          <w:tcPr>
            <w:tcW w:w="60" w:type="dxa"/>
            <w:vAlign w:val="bottom"/>
            <w:tcBorders>
              <w:bottom w:val="single" w:sz="8" w:color="CCEEFF"/>
            </w:tcBorders>
            <w:shd w:val="clear" w:color="auto" w:fill="CCEEFF"/>
          </w:tcPr>
          <w:p>
            <w:pPr>
              <w:spacing w:after="0"/>
              <w:rPr>
                <w:sz w:val="18"/>
                <w:szCs w:val="18"/>
                <w:color w:val="auto"/>
              </w:rPr>
            </w:pPr>
          </w:p>
        </w:tc>
      </w:tr>
      <w:tr>
        <w:trPr>
          <w:trHeight w:val="355"/>
        </w:trPr>
        <w:tc>
          <w:tcPr>
            <w:tcW w:w="6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6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tcPr>
          <w:p>
            <w:pPr>
              <w:jc w:val="center"/>
              <w:ind w:right="5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Reconciliation from Total Recurring Revenues to Adjusted Recurring Gross Profit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Total recurring revenues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78,911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99,263</w:t>
            </w:r>
          </w:p>
        </w:tc>
        <w:tc>
          <w:tcPr>
            <w:tcW w:w="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24,091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29,231</w:t>
            </w:r>
          </w:p>
        </w:tc>
        <w:tc>
          <w:tcPr>
            <w:tcW w:w="60" w:type="dxa"/>
            <w:vAlign w:val="bottom"/>
            <w:shd w:val="clear" w:color="auto" w:fill="CCEEFF"/>
          </w:tcPr>
          <w:p>
            <w:pPr>
              <w:spacing w:after="0"/>
              <w:rPr>
                <w:sz w:val="18"/>
                <w:szCs w:val="18"/>
                <w:color w:val="auto"/>
              </w:rPr>
            </w:pPr>
          </w:p>
        </w:tc>
      </w:tr>
      <w:tr>
        <w:trPr>
          <w:trHeight w:val="210"/>
        </w:trPr>
        <w:tc>
          <w:tcPr>
            <w:tcW w:w="6940" w:type="dxa"/>
            <w:vAlign w:val="bottom"/>
          </w:tcPr>
          <w:p>
            <w:pPr>
              <w:ind w:left="220"/>
              <w:spacing w:after="0"/>
              <w:rPr>
                <w:sz w:val="20"/>
                <w:szCs w:val="20"/>
                <w:color w:val="auto"/>
              </w:rPr>
            </w:pPr>
            <w:r>
              <w:rPr>
                <w:rFonts w:ascii="Arial" w:cs="Arial" w:eastAsia="Arial" w:hAnsi="Arial"/>
                <w:sz w:val="18"/>
                <w:szCs w:val="18"/>
                <w:color w:val="auto"/>
              </w:rPr>
              <w:t>Recurring gross profit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54,820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70,032</w:t>
            </w:r>
          </w:p>
        </w:tc>
        <w:tc>
          <w:tcPr>
            <w:tcW w:w="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internal-use software costs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60" w:type="dxa"/>
            <w:vAlign w:val="bottom"/>
            <w:shd w:val="clear" w:color="auto" w:fill="CCEEFF"/>
          </w:tcPr>
          <w:p>
            <w:pPr>
              <w:spacing w:after="0"/>
              <w:rPr>
                <w:sz w:val="18"/>
                <w:szCs w:val="18"/>
                <w:color w:val="auto"/>
              </w:rPr>
            </w:pP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expense and employer payroll taxes related to stock releases and</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 exercises</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60" w:type="dxa"/>
            <w:vAlign w:val="bottom"/>
            <w:tcBorders>
              <w:bottom w:val="single" w:sz="8" w:color="CCEEFF"/>
            </w:tcBorders>
          </w:tcPr>
          <w:p>
            <w:pPr>
              <w:spacing w:after="0"/>
              <w:rPr>
                <w:sz w:val="20"/>
                <w:szCs w:val="20"/>
                <w:color w:val="auto"/>
              </w:rPr>
            </w:pPr>
          </w:p>
        </w:tc>
      </w:tr>
      <w:tr>
        <w:trPr>
          <w:trHeight w:val="217"/>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Recurring Gross Profit</w:t>
            </w:r>
          </w:p>
        </w:tc>
        <w:tc>
          <w:tcPr>
            <w:tcW w:w="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58,946</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75,328</w:t>
            </w:r>
          </w:p>
        </w:tc>
        <w:tc>
          <w:tcPr>
            <w:tcW w:w="60" w:type="dxa"/>
            <w:vAlign w:val="bottom"/>
            <w:tcBorders>
              <w:bottom w:val="single" w:sz="8" w:color="CCEEFF"/>
            </w:tcBorders>
            <w:shd w:val="clear" w:color="auto" w:fill="CCEEFF"/>
          </w:tcPr>
          <w:p>
            <w:pPr>
              <w:spacing w:after="0"/>
              <w:rPr>
                <w:sz w:val="18"/>
                <w:szCs w:val="18"/>
                <w:color w:val="auto"/>
              </w:rPr>
            </w:pPr>
          </w:p>
        </w:tc>
      </w:tr>
      <w:tr>
        <w:trPr>
          <w:trHeight w:val="355"/>
        </w:trPr>
        <w:tc>
          <w:tcPr>
            <w:tcW w:w="6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6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6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6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tcPr>
          <w:p>
            <w:pPr>
              <w:jc w:val="center"/>
              <w:ind w:right="5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Net Income to Adjusted EBITDA</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9,852</w:t>
            </w:r>
          </w:p>
        </w:tc>
        <w:tc>
          <w:tcPr>
            <w:tcW w:w="6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(5,807)</w:t>
            </w:r>
          </w:p>
        </w:tc>
      </w:tr>
      <w:tr>
        <w:trPr>
          <w:trHeight w:val="216"/>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 expense</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w:t>
            </w:r>
          </w:p>
        </w:tc>
        <w:tc>
          <w:tcPr>
            <w:tcW w:w="60" w:type="dxa"/>
            <w:vAlign w:val="bottom"/>
            <w:tcBorders>
              <w:bottom w:val="single" w:sz="8" w:color="CCEEFF"/>
            </w:tcBorders>
          </w:tcPr>
          <w:p>
            <w:pPr>
              <w:spacing w:after="0"/>
              <w:rPr>
                <w:sz w:val="18"/>
                <w:szCs w:val="18"/>
                <w:color w:val="auto"/>
              </w:rPr>
            </w:pPr>
          </w:p>
        </w:tc>
      </w:tr>
      <w:tr>
        <w:trPr>
          <w:trHeight w:val="210"/>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12,277</w:t>
            </w:r>
          </w:p>
        </w:tc>
        <w:tc>
          <w:tcPr>
            <w:tcW w:w="60" w:type="dxa"/>
            <w:vAlign w:val="bottom"/>
            <w:shd w:val="clear" w:color="auto" w:fill="CCEEFF"/>
          </w:tcPr>
          <w:p>
            <w:pPr>
              <w:spacing w:after="0"/>
              <w:rPr>
                <w:sz w:val="18"/>
                <w:szCs w:val="18"/>
                <w:color w:val="auto"/>
              </w:rPr>
            </w:pP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w w:val="92"/>
              </w:rPr>
              <w:t>Stock-based compensation expense and employer payroll taxes related to stock releases and</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6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 exercises</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7,295</w:t>
            </w:r>
          </w:p>
        </w:tc>
        <w:tc>
          <w:tcPr>
            <w:tcW w:w="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10,986</w:t>
            </w:r>
          </w:p>
        </w:tc>
        <w:tc>
          <w:tcPr>
            <w:tcW w:w="60" w:type="dxa"/>
            <w:vAlign w:val="bottom"/>
            <w:tcBorders>
              <w:bottom w:val="single" w:sz="8" w:color="CCEEFF"/>
            </w:tcBorders>
          </w:tcPr>
          <w:p>
            <w:pPr>
              <w:spacing w:after="0"/>
              <w:rPr>
                <w:sz w:val="20"/>
                <w:szCs w:val="20"/>
                <w:color w:val="auto"/>
              </w:rPr>
            </w:pPr>
          </w:p>
        </w:tc>
      </w:tr>
      <w:tr>
        <w:trPr>
          <w:trHeight w:val="217"/>
        </w:trPr>
        <w:tc>
          <w:tcPr>
            <w:tcW w:w="6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14,592</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23,263</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 size has been on average over 100 employees. 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fees attributable to our cloud-based payroll and HCM solutions accounted for 95% of our total revenues during each of the three months ended September 30, 2017 and 2018.</w:t>
      </w:r>
    </w:p>
    <w:p>
      <w:pPr>
        <w:spacing w:after="0" w:line="18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While the majority of our agreements with clients are generally cancellable by the client on 60 days’ notice or less, we began entering into term arrangements in fiscal 2018, which are generally two years long.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Implementation services and other revenues primarily consist of implementation fees charged to new clients for professional services provided to implement our payroll and HCM solutions. Implementations of our payroll solutions typically require only three to four weeks at which point the new client’s payroll is first processed using our solution. We implement additional HCM products as requested by clients and leverage the data within our payroll solution to accelerate our implementation processes. With the adoption of Topic 606, we defer implementation fees related to our proprietary products over a period generally up to 24 months, which previously were recognized upon completion. Refer to Note 2 of the Notes to the Unaudited Consolidated Financial Statements for additional information regarding the adoption of Topic 606.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Cost of recurring revenues is generally expensed as incurred, and includes costs to provide our payroll and other HCM solutions primarily consisting of employee-related expenses, including wages, stock-based compensation, bonuses and benefits, relating to the provision of ongoing client support, payroll tax filing and distribution of printed checks and other materials. These costs also include amortization of capitalized internal-use software costs, delivery costs and computing costs, as well as bank fees associated with client fund transfers. We expect to realize cost efficiencies over the long term as our business scales, resulting in improved operating leverage and increased margins.</w:t>
      </w:r>
    </w:p>
    <w:p>
      <w:pPr>
        <w:spacing w:after="0" w:line="178"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We capitalize a portion of our internal-use software costs, which are then all amortized as a cost of recurring revenues. We amortized $3.4 million and $4.2 million of capitalized internal-use software costs during the three months ended September 30, 2017 and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Cost of implementation services and other consists primarily of employee-related expenses, including wages, stock-based compensation, bonuses and benefits involved in the implementation of our payroll and other HCM solutions for new clients. With the adoption of Topic 606, cost of implementation services related to our proprietary products are capitalized and amortized over a period of 7 years, which previously were expensed as incurred. We intend to grow our business through acquisition of new clients, and doing so will require increased personnel to implement our solutions. Therefore, our cost of implementation services and other is expected to increase in absolute dollars for the foreseeable future. Refer to Note 2 of the Notes to the Unaudited Consolidated Financial Statements for additional information regarding the adoption of Topic 606.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Sales and marketing expenses consist primarily of employee-related expenses for our direct sales and marketing staff, including wages, commissions, stock-based compensation, bonuses and benefits, marketing expenses and other related costs. With the adoption of Topic 606, we capitalize certain selling and commission costs related to new contracts or purchases of additional services by our existing clients, which were previously expensed as incurred. Commissions are typically paid within two months after the start of service. Bonuses paid to sales staff for attainment of certain annual performance criteria are accrued in the fiscal year in which they are earned and are subsequently paid annually in the first fiscal quarter of the following year. We generally recognize these costs over a period of 7 years.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Refer to Note 2 of the Notes to the Unaudited Consolidated Financial Statements for additional information regarding the adoption of Topic 606.</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months ended September 30, 2017 and 2018.</w:t>
      </w:r>
    </w:p>
    <w:p>
      <w:pPr>
        <w:spacing w:after="0" w:line="192" w:lineRule="exact"/>
        <w:rPr>
          <w:sz w:val="20"/>
          <w:szCs w:val="20"/>
          <w:color w:val="auto"/>
        </w:rPr>
      </w:pPr>
    </w:p>
    <w:p>
      <w:pPr>
        <w:ind w:left="7520"/>
        <w:spacing w:after="0"/>
        <w:rPr>
          <w:sz w:val="20"/>
          <w:szCs w:val="20"/>
          <w:color w:val="auto"/>
        </w:rPr>
      </w:pPr>
      <w:r>
        <w:rPr>
          <w:rFonts w:ascii="Arial" w:cs="Arial" w:eastAsia="Arial" w:hAnsi="Arial"/>
          <w:sz w:val="14"/>
          <w:szCs w:val="14"/>
          <w:b w:val="1"/>
          <w:bCs w:val="1"/>
          <w:color w:val="auto"/>
        </w:rPr>
        <w:t>Three Months Ended</w:t>
      </w:r>
    </w:p>
    <w:p>
      <w:pPr>
        <w:ind w:left="77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3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7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4"/>
          </w:tcPr>
          <w:p>
            <w:pPr>
              <w:jc w:val="right"/>
              <w:ind w:right="294"/>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Capitalized portion of 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60" w:type="dxa"/>
            <w:vAlign w:val="bottom"/>
            <w:shd w:val="clear" w:color="auto" w:fill="CCEEFF"/>
          </w:tcPr>
          <w:p>
            <w:pPr>
              <w:spacing w:after="0"/>
              <w:rPr>
                <w:sz w:val="18"/>
                <w:szCs w:val="18"/>
                <w:color w:val="auto"/>
              </w:rPr>
            </w:pPr>
          </w:p>
        </w:tc>
      </w:tr>
      <w:tr>
        <w:trPr>
          <w:trHeight w:val="216"/>
        </w:trPr>
        <w:tc>
          <w:tcPr>
            <w:tcW w:w="7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Expensed portion of research and development</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11,400</w:t>
            </w:r>
          </w:p>
        </w:tc>
        <w:tc>
          <w:tcPr>
            <w:tcW w:w="60" w:type="dxa"/>
            <w:vAlign w:val="bottom"/>
            <w:tcBorders>
              <w:bottom w:val="single" w:sz="8" w:color="CCEEFF"/>
            </w:tcBorders>
          </w:tcPr>
          <w:p>
            <w:pPr>
              <w:spacing w:after="0"/>
              <w:rPr>
                <w:sz w:val="18"/>
                <w:szCs w:val="18"/>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16,552</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Other income generally consists of interest income related to interest earned on our cash and cash equivalents and corporate investments, net of losses on disposal of property and equipment.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30"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Three Months Ended</w:t>
      </w:r>
    </w:p>
    <w:p>
      <w:pPr>
        <w:ind w:left="76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9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39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4"/>
          </w:tcPr>
          <w:p>
            <w:pPr>
              <w:jc w:val="right"/>
              <w:ind w:right="331"/>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Revenues:</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33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95,761</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3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6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78,911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99,263</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3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6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100,504</w:t>
            </w:r>
          </w:p>
        </w:tc>
        <w:tc>
          <w:tcPr>
            <w:tcW w:w="60" w:type="dxa"/>
            <w:vAlign w:val="bottom"/>
            <w:shd w:val="clear" w:color="auto" w:fill="CCEEFF"/>
          </w:tcPr>
          <w:p>
            <w:pPr>
              <w:spacing w:after="0"/>
              <w:rPr>
                <w:sz w:val="18"/>
                <w:szCs w:val="18"/>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Cost of revenues:</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29,231</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3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6,711</w:t>
            </w:r>
          </w:p>
        </w:tc>
        <w:tc>
          <w:tcPr>
            <w:tcW w:w="6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35,942</w:t>
            </w:r>
          </w:p>
        </w:tc>
        <w:tc>
          <w:tcPr>
            <w:tcW w:w="60" w:type="dxa"/>
            <w:vAlign w:val="bottom"/>
            <w:shd w:val="clear" w:color="auto" w:fill="CCEEFF"/>
          </w:tcPr>
          <w:p>
            <w:pPr>
              <w:spacing w:after="0"/>
              <w:rPr>
                <w:sz w:val="18"/>
                <w:szCs w:val="18"/>
                <w:color w:val="auto"/>
              </w:rPr>
            </w:pPr>
          </w:p>
        </w:tc>
      </w:tr>
      <w:tr>
        <w:trPr>
          <w:trHeight w:val="21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3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46,541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64,562</w:t>
            </w:r>
          </w:p>
        </w:tc>
        <w:tc>
          <w:tcPr>
            <w:tcW w:w="6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21,180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26,418</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22,968</w:t>
            </w:r>
          </w:p>
        </w:tc>
        <w:tc>
          <w:tcPr>
            <w:tcW w:w="60" w:type="dxa"/>
            <w:vAlign w:val="bottom"/>
            <w:tcBorders>
              <w:bottom w:val="single" w:sz="8" w:color="CCEEFF"/>
            </w:tcBorders>
          </w:tcPr>
          <w:p>
            <w:pPr>
              <w:spacing w:after="0"/>
              <w:rPr>
                <w:sz w:val="18"/>
                <w:szCs w:val="18"/>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46,026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60,786</w:t>
            </w:r>
          </w:p>
        </w:tc>
        <w:tc>
          <w:tcPr>
            <w:tcW w:w="60" w:type="dxa"/>
            <w:vAlign w:val="bottom"/>
            <w:shd w:val="clear" w:color="auto" w:fill="CCEEFF"/>
          </w:tcPr>
          <w:p>
            <w:pPr>
              <w:spacing w:after="0"/>
              <w:rPr>
                <w:sz w:val="18"/>
                <w:szCs w:val="18"/>
                <w:color w:val="auto"/>
              </w:rPr>
            </w:pP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3,776</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8"/>
                <w:szCs w:val="18"/>
                <w:color w:val="auto"/>
              </w:rPr>
            </w:pPr>
          </w:p>
        </w:tc>
      </w:tr>
      <w:tr>
        <w:trPr>
          <w:trHeight w:val="210"/>
        </w:trPr>
        <w:tc>
          <w:tcPr>
            <w:tcW w:w="396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4,045</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3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(5,807)</w:t>
            </w: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Net income</w:t>
            </w:r>
          </w:p>
        </w:tc>
        <w:tc>
          <w:tcPr>
            <w:tcW w:w="3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9,852</w:t>
            </w:r>
          </w:p>
        </w:tc>
        <w:tc>
          <w:tcPr>
            <w:tcW w:w="60" w:type="dxa"/>
            <w:vAlign w:val="bottom"/>
          </w:tcPr>
          <w:p>
            <w:pPr>
              <w:spacing w:after="0"/>
              <w:rPr>
                <w:sz w:val="18"/>
                <w:szCs w:val="18"/>
                <w:color w:val="auto"/>
              </w:rPr>
            </w:pPr>
          </w:p>
        </w:tc>
      </w:tr>
      <w:tr>
        <w:trPr>
          <w:trHeight w:val="648"/>
        </w:trPr>
        <w:tc>
          <w:tcPr>
            <w:tcW w:w="3960" w:type="dxa"/>
            <w:vAlign w:val="bottom"/>
          </w:tcPr>
          <w:p>
            <w:pPr>
              <w:spacing w:after="0"/>
              <w:rPr>
                <w:sz w:val="24"/>
                <w:szCs w:val="24"/>
                <w:color w:val="auto"/>
              </w:rPr>
            </w:pPr>
          </w:p>
        </w:tc>
        <w:tc>
          <w:tcPr>
            <w:tcW w:w="3180" w:type="dxa"/>
            <w:vAlign w:val="bottom"/>
          </w:tcPr>
          <w:p>
            <w:pPr>
              <w:jc w:val="right"/>
              <w:ind w:right="243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3960" w:type="dxa"/>
            <w:vAlign w:val="bottom"/>
            <w:tcBorders>
              <w:bottom w:val="single" w:sz="8" w:color="auto"/>
            </w:tcBorders>
          </w:tcPr>
          <w:p>
            <w:pPr>
              <w:spacing w:after="0"/>
              <w:rPr>
                <w:sz w:val="11"/>
                <w:szCs w:val="11"/>
                <w:color w:val="auto"/>
              </w:rPr>
            </w:pPr>
          </w:p>
        </w:tc>
        <w:tc>
          <w:tcPr>
            <w:tcW w:w="3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176"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Three Months Ended</w:t>
      </w:r>
    </w:p>
    <w:p>
      <w:pPr>
        <w:ind w:left="75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53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99"/>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95 %</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12"/>
              <w:spacing w:after="0"/>
              <w:rPr>
                <w:sz w:val="20"/>
                <w:szCs w:val="20"/>
                <w:color w:val="auto"/>
              </w:rPr>
            </w:pPr>
            <w:r>
              <w:rPr>
                <w:rFonts w:ascii="Arial" w:cs="Arial" w:eastAsia="Arial" w:hAnsi="Arial"/>
                <w:sz w:val="18"/>
                <w:szCs w:val="18"/>
                <w:color w:val="auto"/>
              </w:rPr>
              <w:t>2 %</w:t>
            </w:r>
          </w:p>
        </w:tc>
        <w:tc>
          <w:tcPr>
            <w:tcW w:w="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4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12"/>
              <w:spacing w:after="0"/>
              <w:rPr>
                <w:sz w:val="20"/>
                <w:szCs w:val="20"/>
                <w:color w:val="auto"/>
              </w:rPr>
            </w:pPr>
            <w:r>
              <w:rPr>
                <w:rFonts w:ascii="Arial" w:cs="Arial" w:eastAsia="Arial" w:hAnsi="Arial"/>
                <w:sz w:val="18"/>
                <w:szCs w:val="18"/>
                <w:color w:val="auto"/>
              </w:rPr>
              <w:t>3 %</w:t>
            </w:r>
          </w:p>
        </w:tc>
        <w:tc>
          <w:tcPr>
            <w:tcW w:w="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30 %</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Implementation services and other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12"/>
              <w:spacing w:after="0"/>
              <w:rPr>
                <w:sz w:val="20"/>
                <w:szCs w:val="20"/>
                <w:color w:val="auto"/>
              </w:rPr>
            </w:pPr>
            <w:r>
              <w:rPr>
                <w:rFonts w:ascii="Arial" w:cs="Arial" w:eastAsia="Arial" w:hAnsi="Arial"/>
                <w:sz w:val="18"/>
                <w:szCs w:val="18"/>
                <w:color w:val="auto"/>
              </w:rPr>
              <w:t>13 %</w:t>
            </w:r>
          </w:p>
        </w:tc>
        <w:tc>
          <w:tcPr>
            <w:tcW w:w="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7 %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w w:val="74"/>
              </w:rPr>
              <w:t>%</w:t>
            </w: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12"/>
              <w:spacing w:after="0"/>
              <w:rPr>
                <w:sz w:val="20"/>
                <w:szCs w:val="20"/>
                <w:color w:val="auto"/>
              </w:rPr>
            </w:pPr>
            <w:r>
              <w:rPr>
                <w:rFonts w:ascii="Arial" w:cs="Arial" w:eastAsia="Arial" w:hAnsi="Arial"/>
                <w:sz w:val="18"/>
                <w:szCs w:val="18"/>
                <w:color w:val="auto"/>
              </w:rPr>
              <w:t>26 %</w:t>
            </w:r>
          </w:p>
        </w:tc>
        <w:tc>
          <w:tcPr>
            <w:tcW w:w="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26 %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11 %</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3"/>
          </w:tcPr>
          <w:p>
            <w:pPr>
              <w:jc w:val="right"/>
              <w:ind w:right="12"/>
              <w:spacing w:after="0"/>
              <w:rPr>
                <w:sz w:val="20"/>
                <w:szCs w:val="20"/>
                <w:color w:val="auto"/>
              </w:rPr>
            </w:pPr>
            <w:r>
              <w:rPr>
                <w:rFonts w:ascii="Arial" w:cs="Arial" w:eastAsia="Arial" w:hAnsi="Arial"/>
                <w:sz w:val="18"/>
                <w:szCs w:val="18"/>
                <w:color w:val="auto"/>
              </w:rPr>
              <w:t>19 %</w:t>
            </w:r>
          </w:p>
        </w:tc>
        <w:tc>
          <w:tcPr>
            <w:tcW w:w="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23 %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4"/>
              </w:rPr>
              <w:t>%</w:t>
            </w:r>
          </w:p>
        </w:tc>
        <w:tc>
          <w:tcPr>
            <w:tcW w:w="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0 %</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0 %</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2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w w:val="74"/>
              </w:rPr>
              <w:t>%</w:t>
            </w:r>
          </w:p>
        </w:tc>
        <w:tc>
          <w:tcPr>
            <w:tcW w:w="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Arial" w:cs="Arial" w:eastAsia="Arial" w:hAnsi="Arial"/>
                <w:sz w:val="18"/>
                <w:szCs w:val="18"/>
                <w:b w:val="1"/>
                <w:bCs w:val="1"/>
                <w:color w:val="auto"/>
                <w:w w:val="93"/>
              </w:rPr>
              <w:t>Comparison of Three Months Ended September 30, 2017 and 2018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32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 in thousands)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gridSpan w:val="6"/>
            <w:vMerge w:val="restart"/>
          </w:tcPr>
          <w:p>
            <w:pPr>
              <w:jc w:val="right"/>
              <w:ind w:right="5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77,294</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95,761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1"/>
              </w:rPr>
              <w:t>$ 18,467</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95 %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95 %</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8"/>
              </w:rPr>
              <w:t>$  1,885</w:t>
            </w:r>
          </w:p>
        </w:tc>
        <w:tc>
          <w:tcPr>
            <w:tcW w:w="4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4 %</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services and other</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w w:val="94"/>
              </w:rPr>
              <w:t>$ (1,348)</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Percentage of total revenues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1 %</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Recurring fees for the three months ended September 30, 2018 increased by $18.5 million, or 24%, to $95.8 million from $77.3 million for the three months ended September 30, 2017. Recurring fees increased primarily as a result of incremental revenues from new and existing 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Interest income on funds held for clients for the three months ended September 30, 2018 increased by $1.9 million, or 117% to $3.5 million from $1.6 million for the three months ended September 30, 2017. Interest income on funds held for clients increased primarily as a result of higher average interest rates, increased average daily balances for funds held due to the addition of new clients to our client base and interest income from investing a larger portion of our funds held for clients in marketable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Implementation services and other revenue for the three months ended September 30, 2018 decreased by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$1.3 million, or 52%, to $1.2 million from $2.6 million for the three months ended September 30, 2017. Implementation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services and other revenue decreased primarily due to the change in the treatment of implementations fees related to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proprietary products. Historically, we have recognized implementation fees upon completion. Starting July 1, 2018, we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concluded that implementation fees related to our proprietary products are not separate performance obligations, and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the related implementation fees are deferred and amortized generally over a period up to 24 months. Refer to Note 2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Notes to the Unaudited Consolidated Financial Statements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9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$ 24,091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$ 29,231</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5,140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Percentage of recurring revenues</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31 %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29 %</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69 %</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71 %</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$ 10,868</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6,711</w:t>
            </w:r>
          </w:p>
        </w:tc>
        <w:tc>
          <w:tcPr>
            <w:tcW w:w="200" w:type="dxa"/>
            <w:vAlign w:val="bottom"/>
          </w:tcPr>
          <w:p>
            <w:pPr>
              <w:spacing w:after="0"/>
              <w:rPr>
                <w:sz w:val="18"/>
                <w:szCs w:val="18"/>
                <w:color w:val="auto"/>
              </w:rPr>
            </w:pPr>
          </w:p>
        </w:tc>
        <w:tc>
          <w:tcPr>
            <w:tcW w:w="740" w:type="dxa"/>
            <w:vAlign w:val="bottom"/>
            <w:gridSpan w:val="2"/>
          </w:tcPr>
          <w:p>
            <w:pPr>
              <w:ind w:left="40"/>
              <w:spacing w:after="0"/>
              <w:rPr>
                <w:sz w:val="20"/>
                <w:szCs w:val="20"/>
                <w:color w:val="auto"/>
              </w:rPr>
            </w:pPr>
            <w:r>
              <w:rPr>
                <w:rFonts w:ascii="Arial" w:cs="Arial" w:eastAsia="Arial" w:hAnsi="Arial"/>
                <w:sz w:val="18"/>
                <w:szCs w:val="18"/>
                <w:color w:val="auto"/>
                <w:w w:val="94"/>
              </w:rPr>
              <w:t>$ (4,157)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Percentage of implementation services and other</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420 %</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541 %</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color w:val="auto"/>
              </w:rPr>
              <w:t>(320)%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(441)%</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Cost of recurring revenues for the three months ended September 30, 2018 increased by $5.1 million, or 21%, to $29.2 million from $24.1 million for the three months ended September 30, 2017. Cost of recurring revenues increased primarily as a result of the continued growth of our business, in particular, $2.5 million in additional employee-related costs resulting from additional personnel necessary to provide services to new and existing clients, $1.6 million in delivery and other processing-related fees and $0.8 million in increased internal-use software amortization. Recurring gross margin was 69% and 71% for the three months ended September 30, 2017 and 2018,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Cost of implementation services and other for the three months ended September 30, 2018 decreased by</w:t>
      </w:r>
    </w:p>
    <w:p>
      <w:pPr>
        <w:spacing w:after="0" w:line="2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$4.2 million, or 38%, to $6.7 million from $10.9 million for the three months ended September 30, 2017. The decrease in cost of implementation services and other was primarily due to the deferral of certain implementation costs related to our proprietary products upon the adoption of Topic 606 during the three months ended September 30, 2018. Refer to Note 2 of the Notes to the Unaudited Consolidated Financial Statements for additional information regarding the adoption of Topic 606.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$ 21,180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$ 26,418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5,238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40" w:type="dxa"/>
            <w:vAlign w:val="bottom"/>
            <w:gridSpan w:val="3"/>
          </w:tcPr>
          <w:p>
            <w:pPr>
              <w:jc w:val="right"/>
              <w:ind w:right="40"/>
              <w:spacing w:after="0"/>
              <w:rPr>
                <w:sz w:val="20"/>
                <w:szCs w:val="20"/>
                <w:color w:val="auto"/>
              </w:rPr>
            </w:pPr>
            <w:r>
              <w:rPr>
                <w:rFonts w:ascii="Arial" w:cs="Arial" w:eastAsia="Arial" w:hAnsi="Arial"/>
                <w:sz w:val="18"/>
                <w:szCs w:val="18"/>
                <w:color w:val="auto"/>
              </w:rPr>
              <w:t>26 %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26 %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Sales and marketing expenses for the three months ended September 30, 2018 increased by $5.2 million, or 25%, to $26.4 million from $21.2 million for the three months ended September 30, 2017. The increase in sales and marketing expense was primarily the result of additional employee-related costs from the expansion of our sales team (including management, sales engineers, direct sales, sales administration and sales lead generation support), partially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offset by the deferral of certain selling and commissions costs related to the adoption of Topic 606 on July 1, 2018. Refer to Note 2 of the Notes to the Unaudited Consolidated Financial Statements for additional information regarding the adoption of Topic 606.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8,895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$ 11,400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2,505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40" w:type="dxa"/>
            <w:vAlign w:val="bottom"/>
            <w:gridSpan w:val="3"/>
          </w:tcPr>
          <w:p>
            <w:pPr>
              <w:jc w:val="right"/>
              <w:ind w:right="40"/>
              <w:spacing w:after="0"/>
              <w:rPr>
                <w:sz w:val="20"/>
                <w:szCs w:val="20"/>
                <w:color w:val="auto"/>
              </w:rPr>
            </w:pPr>
            <w:r>
              <w:rPr>
                <w:rFonts w:ascii="Arial" w:cs="Arial" w:eastAsia="Arial" w:hAnsi="Arial"/>
                <w:sz w:val="18"/>
                <w:szCs w:val="18"/>
                <w:color w:val="auto"/>
              </w:rPr>
              <w:t>11 %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Research and development expenses for the three months ended September 30, 2018 increased by $2.5 million, or 28%, to $11.4 million from $8.9 million for the three months ended September 30, 2017. The increase in research and development expenses was primarily the result of $2.9 million of additional employee-related costs related to additional development personnel and $0.6 million in additional stock-based compensation associated with our equity incentive plan, partially offset by higher period-over-period capitalized internal-use software costs of $1.1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$ 15,951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$ 22,968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7,017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40" w:type="dxa"/>
            <w:vAlign w:val="bottom"/>
            <w:gridSpan w:val="3"/>
          </w:tcPr>
          <w:p>
            <w:pPr>
              <w:jc w:val="right"/>
              <w:ind w:right="40"/>
              <w:spacing w:after="0"/>
              <w:rPr>
                <w:sz w:val="20"/>
                <w:szCs w:val="20"/>
                <w:color w:val="auto"/>
              </w:rPr>
            </w:pPr>
            <w:r>
              <w:rPr>
                <w:rFonts w:ascii="Arial" w:cs="Arial" w:eastAsia="Arial" w:hAnsi="Arial"/>
                <w:sz w:val="18"/>
                <w:szCs w:val="18"/>
                <w:color w:val="auto"/>
              </w:rPr>
              <w:t>19 %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23 %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General and administrative expenses for the three months ended September 30, 2018 increased by $7.0 million, or 44%, to $23.0 million from $16.0 million for the three months ended September 30, 2017. The increase in general and administrative expense was primarily the result of $3.1 million of additional employee-related costs and $2.4 million in additional stock-based compensation associated with our equity incentive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1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Other income for the three months ended September 30, 2018 increased by $0.2 million as compared to the three months ended September 30, 2017. The increase in other income was primarily due to interest income from investments and higher average interest rates for our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102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(5,807)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(5,888)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(6) %</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59690</wp:posOffset>
            </wp:positionV>
            <wp:extent cx="14408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color w:val="auto"/>
        </w:rPr>
        <w:t>*</w:t>
        <w:tab/>
        <w:t>Not Meaningful</w:t>
      </w:r>
    </w:p>
    <w:p>
      <w:pPr>
        <w:spacing w:after="0" w:line="225" w:lineRule="exact"/>
        <w:rPr>
          <w:sz w:val="20"/>
          <w:szCs w:val="20"/>
          <w:color w:val="auto"/>
        </w:rPr>
      </w:pPr>
    </w:p>
    <w:p>
      <w:pPr>
        <w:ind w:right="80" w:firstLine="713"/>
        <w:spacing w:after="0" w:line="259" w:lineRule="auto"/>
        <w:rPr>
          <w:sz w:val="20"/>
          <w:szCs w:val="20"/>
          <w:color w:val="auto"/>
        </w:rPr>
      </w:pPr>
      <w:r>
        <w:rPr>
          <w:rFonts w:ascii="Arial" w:cs="Arial" w:eastAsia="Arial" w:hAnsi="Arial"/>
          <w:sz w:val="18"/>
          <w:szCs w:val="18"/>
          <w:color w:val="auto"/>
        </w:rPr>
        <w:t>The difference in income tax expense (benefit) of $(5.9) million for the three months ended September 30, 2018 as compared to the three months ended September 30, 2017 was primarily due to $6.9 million benefit from excess benefits realized from employee stock exercises, partially offset by the provision for income taxes through September 30, 2018 of $1.1 million.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 and Seasonality</w:t>
      </w:r>
    </w:p>
    <w:p>
      <w:pPr>
        <w:spacing w:after="0" w:line="229"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We changed our significant accounting policy for revenue recognition related to our adoption of Topic 606 in the first quarter of fiscal 2019. Refer to Note 2 of the Notes to the Unaudited Consolidated Financial Statements for additional detail around our revenue recognition policy. Our critical accounting policies and use of estimates are disclosed in our audited consolidated financial statements for the year ended June 30, 2018 included in our Annual Report on Form 10-K filed with the SEC on August 10,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primary liquidity needs are related to the funding of general business requirements, including working capital requirements, research and development, and capital expenditures. The recently completed share repurchase program was funded by our cash flows from operations. As of September 30, 2018, our principal sources of liquidity were $63.7 million of cash and cash equivalents and $22.1 million of total corporate investments.</w:t>
      </w:r>
    </w:p>
    <w:p>
      <w:pPr>
        <w:spacing w:after="0" w:line="17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order to grow our business, we intend to increase our personnel and related expenses and to make significant investments in our platform, data centers and general infrastructure. The timing and amount of these investments will vary based on the rate at which we can add new clients and new personnel and the scale of our application development, data centers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corporate investments and seek to establish borrowing capacity to satisfy those needs.</w:t>
      </w:r>
    </w:p>
    <w:p>
      <w:pPr>
        <w:spacing w:after="0" w:line="197"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cash flows from investing and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of each payroll cycle. Funds held for clients are primarily placed in demand deposit accounts with various financial institutions. We also invest portions of our excess cash and cash equivalents and funds held for clients in highly liquid, investment-grade marketable securities. Funds held for clients are used for the repayment of client fund obligations.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believe our current cash and cash equivalents, corporate investments and cash flow from operations will be sufficient to meet our working capital, capital expenditure, share repurchases, if any, and other investment requirements for at least the next 12 months.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30"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Three Months Ended</w:t>
      </w:r>
    </w:p>
    <w:p>
      <w:pPr>
        <w:jc w:val="center"/>
        <w:ind w:left="70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0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available-for-sale securities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(75,804)</w:t>
            </w:r>
          </w:p>
        </w:tc>
        <w:tc>
          <w:tcPr>
            <w:tcW w:w="20" w:type="dxa"/>
            <w:vAlign w:val="bottom"/>
            <w:shd w:val="clear" w:color="auto" w:fill="CCEEFF"/>
          </w:tcPr>
          <w:p>
            <w:pPr>
              <w:spacing w:after="0"/>
              <w:rPr>
                <w:sz w:val="18"/>
                <w:szCs w:val="18"/>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Proceeds from sales and maturities of available-for-sale securities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56,446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funds held for clients' cash and cash equivalents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Capitalized internal-use software costs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080" w:type="dxa"/>
            <w:vAlign w:val="bottom"/>
          </w:tcPr>
          <w:p>
            <w:pPr>
              <w:ind w:left="300"/>
              <w:spacing w:after="0"/>
              <w:rPr>
                <w:sz w:val="20"/>
                <w:szCs w:val="20"/>
                <w:color w:val="auto"/>
              </w:rPr>
            </w:pPr>
            <w:r>
              <w:rPr>
                <w:rFonts w:ascii="Arial" w:cs="Arial" w:eastAsia="Arial" w:hAnsi="Arial"/>
                <w:sz w:val="18"/>
                <w:szCs w:val="18"/>
                <w:color w:val="auto"/>
              </w:rPr>
              <w:t>Lease allowances used for tenant improvements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0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provided by (used in) investing activities</w:t>
            </w: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29,057</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client fund obligations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(57,458)</w:t>
            </w:r>
          </w:p>
        </w:tc>
        <w:tc>
          <w:tcPr>
            <w:tcW w:w="20" w:type="dxa"/>
            <w:vAlign w:val="bottom"/>
            <w:shd w:val="clear" w:color="auto" w:fill="CCEEFF"/>
          </w:tcPr>
          <w:p>
            <w:pPr>
              <w:spacing w:after="0"/>
              <w:rPr>
                <w:sz w:val="18"/>
                <w:szCs w:val="18"/>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Repurchases of common shares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(34,679)</w:t>
            </w:r>
          </w:p>
        </w:tc>
        <w:tc>
          <w:tcPr>
            <w:tcW w:w="20" w:type="dxa"/>
            <w:vAlign w:val="bottom"/>
          </w:tcPr>
          <w:p>
            <w:pPr>
              <w:spacing w:after="0"/>
              <w:rPr>
                <w:sz w:val="18"/>
                <w:szCs w:val="18"/>
                <w:color w:val="auto"/>
              </w:rPr>
            </w:pPr>
          </w:p>
        </w:tc>
      </w:tr>
      <w:tr>
        <w:trPr>
          <w:trHeight w:val="216"/>
        </w:trPr>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080" w:type="dxa"/>
            <w:vAlign w:val="bottom"/>
          </w:tcPr>
          <w:p>
            <w:pPr>
              <w:ind w:left="320"/>
              <w:spacing w:after="0"/>
              <w:rPr>
                <w:sz w:val="20"/>
                <w:szCs w:val="20"/>
                <w:color w:val="auto"/>
              </w:rPr>
            </w:pPr>
            <w:r>
              <w:rPr>
                <w:rFonts w:ascii="Arial" w:cs="Arial" w:eastAsia="Arial" w:hAnsi="Arial"/>
                <w:sz w:val="18"/>
                <w:szCs w:val="18"/>
                <w:color w:val="auto"/>
              </w:rPr>
              <w:t>Taxes paid related to net share settlement of equity awards</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(6,470)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(17,880)</w:t>
            </w:r>
          </w:p>
        </w:tc>
        <w:tc>
          <w:tcPr>
            <w:tcW w:w="20" w:type="dxa"/>
            <w:vAlign w:val="bottom"/>
          </w:tcPr>
          <w:p>
            <w:pPr>
              <w:spacing w:after="0"/>
              <w:rPr>
                <w:sz w:val="18"/>
                <w:szCs w:val="18"/>
                <w:color w:val="auto"/>
              </w:rPr>
            </w:pPr>
          </w:p>
        </w:tc>
      </w:tr>
      <w:tr>
        <w:trPr>
          <w:trHeight w:val="210"/>
        </w:trPr>
        <w:tc>
          <w:tcPr>
            <w:tcW w:w="60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(109,932)</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7"/>
        </w:trPr>
        <w:tc>
          <w:tcPr>
            <w:tcW w:w="608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0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(73,531)</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was $8.2 million and $7.3 million for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2017 and 2018, respectively. The decrease in net cash provided by operating activities from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2017 to the three months ended September 30, 2018 was primarily due to $1.7 million received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tenant improvement allowances during the three months ended September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Net cash provided by (used in) investing activities was $(7.3) million and $29.1 million for the three months ended September 30, 2017 and 2018, respectively.</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Changes in net cash used in investing activities are significantly influenced by the amount of funds held for clients at the end of a reporting period. Changes in the amount of funds held for clients from period to period will vary substantially as a result of the timing of payroll and tax obligations due. Our payroll processing activities involve the movement of significant funds from accounts of employers to employees and relevant taxing authorities. During fiscal 2018, we processed over $110 billion in payroll transactions.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banks to execute ACH and wire transfers to support our client payroll and tax services. We believe we have sufficient capacity under these ACH arrangements to handle our transactions for the foreseeable future. Fluctuations in the net change in funds held for clients’ cash and cash equivalents are also impacted by the timing of purchases and sales and maturities of investments as we invest a portion of the funds held for clients in highly liquid, investment-grade marketable securities. Beginning in July 2018, we also began investing portions of our excess cash in marketable securities.</w:t>
      </w:r>
    </w:p>
    <w:p>
      <w:pPr>
        <w:spacing w:after="0" w:line="16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Excluding the net change in funds held for clients’ cash and cash equivalents and purchases and proceeds from sales and maturities of available-for-sale securities, our net cash used in investing activities was $7.9 million and $7.4 million for the three months ended September 30, 2017 and 2018, respectively. The change in net cash used in investing activities was primarily due to a decrease in lease allowances used for tenant improvements of $1.5 million, partially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offset by increased capitalized internal-use software costs of $1.3 million during the three months ended September 30, 2018 as compared to September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Net cash used in financing activities was $6.9 and $109.9 million for the three months ended September 30, 2017 and 2018, respectively. Excluding the net change in client fund obligations, net cash used in financing activities was $6.5 million and $52.5 million for the three months ended September 30, 2017 and 2018, respectively. The change in net cash used in financing activities, excluding the net change in client fund obligations, was primarily the result of $34.7 million in repurchases of common shares and an $11.4 million increase in taxes paid related to net share settlement of equity awards during the three months ended September 30,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September 30,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154"/>
              <w:spacing w:after="0"/>
              <w:rPr>
                <w:sz w:val="20"/>
                <w:szCs w:val="20"/>
                <w:color w:val="auto"/>
              </w:rPr>
            </w:pPr>
            <w:r>
              <w:rPr>
                <w:rFonts w:ascii="Arial" w:cs="Arial" w:eastAsia="Arial" w:hAnsi="Arial"/>
                <w:sz w:val="14"/>
                <w:szCs w:val="14"/>
                <w:b w:val="1"/>
                <w:bCs w:val="1"/>
                <w:color w:val="auto"/>
                <w:w w:val="95"/>
              </w:rPr>
              <w:t>Payment Due By Fiscal Period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Less than</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76"/>
              </w:rPr>
              <w:t>1</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1-3 Years</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3-5 Years</w:t>
            </w:r>
          </w:p>
        </w:tc>
        <w:tc>
          <w:tcPr>
            <w:tcW w:w="1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than</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9"/>
              <w:spacing w:after="0"/>
              <w:rPr>
                <w:sz w:val="20"/>
                <w:szCs w:val="20"/>
                <w:color w:val="auto"/>
              </w:rPr>
            </w:pPr>
            <w:r>
              <w:rPr>
                <w:rFonts w:ascii="Arial" w:cs="Arial" w:eastAsia="Arial" w:hAnsi="Arial"/>
                <w:sz w:val="14"/>
                <w:szCs w:val="14"/>
                <w:b w:val="1"/>
                <w:bCs w:val="1"/>
                <w:color w:val="auto"/>
                <w:w w:val="98"/>
              </w:rPr>
              <w:t>Year</w:t>
            </w: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$112,107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9,365</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$19,757</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$17,190</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$65,795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4,576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1,083</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7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116,683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20,840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17,190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65,795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$2.7 million and $2.4 million for the three months ended September 30, 2017 and 2018, respectively, exclusive of capitalized internal-use software costs of $3.8 million and $5.0 million for the same periods,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Refer to Note 2 of the Notes to the Unaudited Consolidated Financial Statements for a discussion of recently issued accounting standards.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2018, we had cash and cash equivalents of $63.7 million, corporate investments of $22.1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and funds held for clients of $1,168.2 million. We deposit our cash and cash equivalents and significant portions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funds held for clients in demand deposit accounts with various financial institutions. We invest portions of our excess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and funds held for clients in marketable securities including commercial paper, corporate bonds,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asset-backed securities and U.S. treasury securities, which were classified as available-for-sale securities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2018. Our investment policy is focused on generating higher yields from these investments while preserving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liquidity and capital. However, as a result of our investing activities, we are exposed to changes in interest rates that may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materially affect our financial statements.</w:t>
      </w:r>
    </w:p>
    <w:p>
      <w:pPr>
        <w:spacing w:after="0" w:line="21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to be other-than-temporary. We have not recorded any other-than-temporary impairment losses to date.</w:t>
      </w:r>
    </w:p>
    <w:p>
      <w:pPr>
        <w:spacing w:after="0" w:line="16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Based upon a sensitivity model that measures market value changes caused by interest rate fluctuations, an immediate 25-basis point increase in interest rates would have resulted in a decrease in the market value of our available-for-sale securities included in funds held for clients by $0.2 million as of September 30, 2018. A 25-basis point decrease in interest rates would have resulted in a $0.2 million increase in the market value of our available-for-sale securities included in funds held for clients as of September 30, 2018. Fluctuations in the value of our available-for-sale securities caused by changes in interest rates are recorded in other comprehensive income and are only realized if we sell the underlying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19"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September 30, 2018,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99" w:firstLine="648"/>
        <w:spacing w:after="0" w:line="276" w:lineRule="auto"/>
        <w:rPr>
          <w:sz w:val="20"/>
          <w:szCs w:val="20"/>
          <w:color w:val="auto"/>
        </w:rPr>
      </w:pPr>
      <w:r>
        <w:rPr>
          <w:rFonts w:ascii="Arial" w:cs="Arial" w:eastAsia="Arial" w:hAnsi="Arial"/>
          <w:sz w:val="17"/>
          <w:szCs w:val="17"/>
          <w:color w:val="auto"/>
        </w:rPr>
        <w:t>Effective July 1, 2018, we adopted Accounting Standard Codification Topic 606, Revenue from Contracts with Customers (“ASC 606”). Changes were made to the relevant business processes and the related control activities in order to monitor and maintain appropriate controls over financial reporting. There were no other changes in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Quarterly Report on Form 10-Q, including our consolidated financial statements and related notes.</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continue to fluctuate, which may cause the value of our common stock to decline substantially.</w:t>
      </w:r>
    </w:p>
    <w:p>
      <w:pPr>
        <w:spacing w:after="0" w:line="1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other risk factors listed in this section, some of the important factors that may cause fluctuations in our quarterly operating results include:</w:t>
      </w:r>
    </w:p>
    <w:p>
      <w:pPr>
        <w:spacing w:after="0" w:line="170" w:lineRule="exact"/>
        <w:rPr>
          <w:sz w:val="20"/>
          <w:szCs w:val="20"/>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300" w:right="180" w:hanging="325"/>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300" w:right="660" w:hanging="325"/>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 repeal of or changes to the laws and regulations related to the products and services which we offer;</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majority of our agreements with clients do not have a specified term and are generally cancellable by our clients upon 60 days’ or less notice; however, in fiscal 2018, the Company also began entering into term agreements, which are generally two years in length. If a significant number of clients elected to terminate their agreements with us, our operating results and our business would be adversely affected.</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8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Failure to manage our growth effectively could increase our expenses, decrease our revenue, and prevent us from implementing our business strategy.</w:t>
      </w:r>
    </w:p>
    <w:p>
      <w:pPr>
        <w:spacing w:after="0" w:line="170"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16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if we do not compete effectively, our operating results could be adversely affected.</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Paycor, Inc. and other regional providers, and HCM point solutions, such as Cornerstone OnDemand, Inc.</w:t>
      </w:r>
    </w:p>
    <w:p>
      <w:pPr>
        <w:spacing w:after="0" w:line="18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16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Changes in tax, benefit and other laws and regulations could require us to make significant modifications to our products or delay or cease sales of certain products, which could result in reduced revenues or revenue growth and our incurring substantial expenses and write-offs.</w:t>
      </w:r>
    </w:p>
    <w:p>
      <w:pPr>
        <w:spacing w:after="0" w:line="167"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If we fail to manage our technical operations infrastructure, including operation of our data centers, our existing clients may experience service outages and our new clients may experience delays in the deployment of our applications.</w:t>
      </w:r>
    </w:p>
    <w:p>
      <w:pPr>
        <w:spacing w:after="0" w:line="101"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have experienced significant growth in the number of users, transactions and data that our operations infrastructure supports. We seek to maintain sufficient excess capacity in our data centers and other operations infrastructure to meet the needs of all of our clients. We also seek to maintain excess capacity to facilitate the rapid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8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9" w:lineRule="exact"/>
        <w:rPr>
          <w:sz w:val="20"/>
          <w:szCs w:val="20"/>
          <w:color w:val="auto"/>
        </w:rPr>
      </w:pPr>
    </w:p>
    <w:p>
      <w:pPr>
        <w:ind w:left="1300" w:hanging="325"/>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Damage from fire, power loss, natural disasters and other force majeure events outside our control;</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breaches, computer viruses, hacking, denial-of-service attacks and similar disruptive problems; and</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171"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host our solutions at a third-party facility in Franklin Park, Illinois and utilize another third-party facility in Kenosha, Wisconsin for backup and disaster recovery. We also may decide to employ additional offsite data centers in the future to accommodate growth. 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 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7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8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system passwords, and in the case of our benefit administration solution, BeneFLEX, health information protected by the Health Insurance Portability and Accountability Act of 1996, as amended, or HIPAA.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While we have security measures and controls in place to protect confidential information, prevent data loss, theft and other security breaches, including penetration tests of our systems by independent third parties, if our security measures are breached, our business could be substantially harmed and we could incur significant liabilities. The costs of investigating, mitigating, and reporting such a breach to affected individuals (if required) can be substantial. In addition, if a high-profile security breach occurs with respect to an industry peer, our clients and potential clients may generally lose trust in the security of payroll and HCM applications. Any such breach or unauthorized access could negatively affect our ability to attract new clients, cause existing clients to terminate their agreements with us, result in reputational damage and subject us to lawsuits, regulatory fines (including, in the case of our benefit administration solution, BeneFLEX, penalties for failure to comply with HIPAA) or other actions or liabilities which could materially and adversely affect our business and operating results.</w:t>
      </w:r>
    </w:p>
    <w:p>
      <w:pPr>
        <w:spacing w:after="0" w:line="16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recognize the majority of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5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recognize our expenses over varying periods based on the nature of the expense. When a client terminates its relationship with us, we may not have derived enough revenue from that client to cover associated implementation costs. Our expenses fluctuate as a percentage of revenue, and changes in our business generally may not be immediately reflected in our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adequately expand our direct sales force with qualified and productive persons, we may not be able to grow our business effectively.</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requires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9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more than 25% of our new sales in fiscal 2018 were referred to us from our referral network participants. In most cases, our relationships with referral network participants are informal, although in some cases, we have formalized relationships where we are a recommended vendor for their clients.</w:t>
      </w:r>
    </w:p>
    <w:p>
      <w:pPr>
        <w:spacing w:after="0" w:line="158"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5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15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decreases in corporate spending or otherwise, it could result in a loss of clients, decreased revenues and an adverse impact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or increase profitability in the future.</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generated net income in fiscal 2017, fiscal 2018 and the first three months of fiscal 2019; however, we may not be able to sustain or increase profitability in future periods.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implement and support new clients. We intend for the foreseeable future to continue to focus predominately on adding new clients, and we also expect to make other significant expenditures and investments in research and development to expand and improve our product offerings and technical infrastructure. We also may not be able to sustain or increase profitability in the future for a number of other unforeseen reasons. Therefore, our profitability may decrease, we may cease to be profitable, or we may incur operating losses in the future.</w:t>
      </w:r>
    </w:p>
    <w:p>
      <w:pPr>
        <w:spacing w:after="0" w:line="16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We typically pay client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payroll processing business involves the movement of significant funds from the account of a client to employees and relevant taxing authorities. For example, in fiscal 2018 we processed over $110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changes in economic or political conditions could adversely affect our operating results and our business.</w:t>
      </w:r>
    </w:p>
    <w:p>
      <w:pPr>
        <w:spacing w:after="0" w:line="2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again in the future. If the current economic climate begins to decline,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Trade, monetary and fiscal policies, and political and economic conditions may substantially change, and credit markets may experience periods of constriction and volatility.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currently have agreements with eleven banks to execute ACH and wire transfers to support our client payroll, benefit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8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depend on our senior management team and other key employees, and the loss of these persons or an inability to attract and retain highly skilled employees, including product development and other technical persons, could adversely affect our business.</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success depends largely upon the continued services of our key executive officers, including Steven R. Beauchamp, our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6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business may be adversely impacted if the Patient Protection and Affordable Care Act, or the ACA, is repealed in its entirety or certain aspects of the ACA are repealed or changed.</w:t>
      </w:r>
    </w:p>
    <w:p>
      <w:pPr>
        <w:spacing w:after="0" w:line="170"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ACA remains subject to legislative efforts to repeal, modify or delay the implementation of all or certain aspects of the law. Generally, if the ACA is repealed or modified in whole or in part, or if implementation of certain aspects of the ACA is delayed, such repeal, modification or delay could adversely impact our existing and future business and operating results. For example, any such repeal, modification or delay could negatively impact the revenue we currently generate from our ACA Compliance solution as well as overall gross margins. While we expect continued challenges to the ACA, at this time we are unable to more precisely predict the full impact of any repeal, modification or delay in the implementation of the ACA.</w:t>
      </w:r>
    </w:p>
    <w:p>
      <w:pPr>
        <w:spacing w:after="0" w:line="18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Privacy concerns and laws or other domestic regulations may increase the cost of our solutions or reduce the effectiveness of our applications and adversely affect our business.</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In addition, HIPAA, as amended by the Health Information Technology for Economic and Clinical Health Act, and its implementing regulations, applies to our benefit administration solution, BeneFLEX, as a business associate. The costs of compliance with, and other burdens imposed by, such laws and regulations that are applicable to our clients’ 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18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187"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Our business could be adversely affected if we do not effectively implement and service our solutions or if we are unable to accommodate increased demand for our implementation and client services resulting from growth in our business.</w:t>
      </w:r>
    </w:p>
    <w:p>
      <w:pPr>
        <w:spacing w:after="0" w:line="10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ability to deliver our payroll and HCM solutions depends on our ability to effectively implement and to transition to, and train our clients on, our solutions. We do not recognize any revenue from new clients until they process their first payroll. Further, the majority of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Once our applications are deployed, our clients depend on our client service organization to resolve issues relating to our solutions. The majority of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17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In addition, we may be unable to respond quickly enough to accommodate increased client demand for implementation and client services driven by our growth. In order to ensure that we have sufficient employees to implement and service our solutions, we must closely coordinate hiring of personnel with our projected sales for a particular period. Because our sales cycle is typically only three to six weeks long, we may not be successful in coordinating hiring of implementation and client service personnel to meet increased demand for our services. Increased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demand for services without a corresponding staffing increase of qualified personnel could adversely affect the quality of services provided to our clients, and our business and our reputation could be harmed.</w:t>
      </w:r>
    </w:p>
    <w:p>
      <w:pPr>
        <w:spacing w:after="0" w:line="170"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0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6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8"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3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Corporate investments and 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invest portions of excess cash and cash equivalents and funds held for our clients in liquid, investment-grade marketable securities such as corporate bonds, commercial paper, asset-backed securities, U.S. treasury securities, money market securities, and other cash equivalents. We follow an established investment policy and set of guidelines to monitor and help mitigate our exposure to liquidity and credit risks. Nevertheless, our corporate investments and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In addition, funds for clients are deposited in consolidated accounts on behalf of our clients,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6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6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example, we might lose sales or incur significant expenses if states successfully impose broader guidelines on state sales and use taxes. A successful assertion by one or more states requiring us to collect sales or other taxes on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6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services to our clients and might adversely affect our ability to retain existing clients or to gain new clients in the areas in which such taxes are imposed.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may become subject, from time to time, to legal proceedings and claims that arise in the ordinary course of business such as claims brought by our clients in connection with commercial disputes, employment claims made by our current or former employees, or lawsuits related to breaches of personal information.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97"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 could be costly and time-consuming and divert the attention of our management and key personnel from our business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and solutions may expose us to additional risks and harm our intellectual property rights.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third-party software used in our products is not adequately maintained or updated, our business could be materially adversely affected.</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products utilize certain software of third-party software developers. For example, we license technology from bswift as part of our Paylocity Enterprise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67"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has been adversely affected by “viruses,” “worms” and similar malicious programs, and the Internet has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59"/>
        <w:spacing w:after="0" w:line="277" w:lineRule="auto"/>
        <w:rPr>
          <w:sz w:val="20"/>
          <w:szCs w:val="20"/>
          <w:color w:val="auto"/>
        </w:rPr>
      </w:pPr>
      <w:r>
        <w:rPr>
          <w:rFonts w:ascii="Arial" w:cs="Arial" w:eastAsia="Arial" w:hAnsi="Arial"/>
          <w:sz w:val="18"/>
          <w:szCs w:val="18"/>
          <w:color w:val="auto"/>
        </w:rPr>
        <w:t>experienced a variety of outages and other delays as a result of damage to portions of its infrastructure. If the use of the Internet is adversely affected by these issues, demand for our applications could suffer.</w:t>
      </w:r>
    </w:p>
    <w:p>
      <w:pPr>
        <w:spacing w:after="0" w:line="170" w:lineRule="exact"/>
        <w:rPr>
          <w:sz w:val="20"/>
          <w:szCs w:val="20"/>
          <w:color w:val="auto"/>
        </w:rPr>
      </w:pPr>
    </w:p>
    <w:p>
      <w:pPr>
        <w:ind w:right="39" w:firstLine="648"/>
        <w:spacing w:after="0" w:line="272" w:lineRule="auto"/>
        <w:rPr>
          <w:sz w:val="20"/>
          <w:szCs w:val="20"/>
          <w:color w:val="auto"/>
        </w:rPr>
      </w:pPr>
      <w:r>
        <w:rPr>
          <w:rFonts w:ascii="Arial" w:cs="Arial" w:eastAsia="Arial" w:hAnsi="Arial"/>
          <w:sz w:val="17"/>
          <w:szCs w:val="17"/>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178" w:lineRule="exact"/>
        <w:rPr>
          <w:sz w:val="20"/>
          <w:szCs w:val="20"/>
          <w:color w:val="auto"/>
        </w:rPr>
      </w:pPr>
    </w:p>
    <w:p>
      <w:pPr>
        <w:ind w:right="279"/>
        <w:spacing w:after="0" w:line="381" w:lineRule="auto"/>
        <w:rPr>
          <w:sz w:val="20"/>
          <w:szCs w:val="20"/>
          <w:color w:val="auto"/>
        </w:rPr>
      </w:pPr>
      <w:r>
        <w:rPr>
          <w:rFonts w:ascii="Arial" w:cs="Arial" w:eastAsia="Arial" w:hAnsi="Arial"/>
          <w:sz w:val="15"/>
          <w:szCs w:val="15"/>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pacing w:after="0" w:line="101" w:lineRule="exact"/>
        <w:rPr>
          <w:sz w:val="20"/>
          <w:szCs w:val="20"/>
          <w:color w:val="auto"/>
        </w:rPr>
      </w:pPr>
    </w:p>
    <w:p>
      <w:pPr>
        <w:ind w:right="39" w:firstLine="648"/>
        <w:spacing w:after="0" w:line="255" w:lineRule="auto"/>
        <w:rPr>
          <w:sz w:val="20"/>
          <w:szCs w:val="20"/>
          <w:color w:val="auto"/>
        </w:rPr>
      </w:pPr>
      <w:r>
        <w:rPr>
          <w:rFonts w:ascii="Arial" w:cs="Arial" w:eastAsia="Arial" w:hAnsi="Arial"/>
          <w:sz w:val="18"/>
          <w:szCs w:val="18"/>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225" w:lineRule="exact"/>
        <w:rPr>
          <w:sz w:val="20"/>
          <w:szCs w:val="20"/>
          <w:color w:val="auto"/>
        </w:rPr>
      </w:pPr>
    </w:p>
    <w:p>
      <w:pPr>
        <w:jc w:val="both"/>
        <w:ind w:right="299" w:firstLine="648"/>
        <w:spacing w:after="0" w:line="288" w:lineRule="auto"/>
        <w:rPr>
          <w:sz w:val="20"/>
          <w:szCs w:val="20"/>
          <w:color w:val="auto"/>
        </w:rPr>
      </w:pPr>
      <w:r>
        <w:rPr>
          <w:rFonts w:ascii="Arial" w:cs="Arial" w:eastAsia="Arial" w:hAnsi="Arial"/>
          <w:sz w:val="16"/>
          <w:szCs w:val="16"/>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w:t>
      </w:r>
    </w:p>
    <w:p>
      <w:pPr>
        <w:ind w:right="259"/>
        <w:spacing w:after="0" w:line="261" w:lineRule="auto"/>
        <w:rPr>
          <w:sz w:val="20"/>
          <w:szCs w:val="20"/>
          <w:color w:val="auto"/>
        </w:rPr>
      </w:pPr>
      <w:r>
        <w:rPr>
          <w:rFonts w:ascii="Arial" w:cs="Arial" w:eastAsia="Arial" w:hAnsi="Arial"/>
          <w:sz w:val="18"/>
          <w:szCs w:val="18"/>
          <w:color w:val="auto"/>
        </w:rPr>
        <w:t>Accordingly, we might need to engage in equity or debt financings to secure additional funds. In addition, we will need to expand our ACH capacity as we grow our business.</w:t>
      </w:r>
    </w:p>
    <w:p>
      <w:pPr>
        <w:spacing w:after="0" w:line="184" w:lineRule="exact"/>
        <w:rPr>
          <w:sz w:val="20"/>
          <w:szCs w:val="20"/>
          <w:color w:val="auto"/>
        </w:rPr>
      </w:pPr>
    </w:p>
    <w:p>
      <w:pPr>
        <w:ind w:right="19" w:firstLine="648"/>
        <w:spacing w:after="0" w:line="271"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79" w:lineRule="exact"/>
        <w:rPr>
          <w:sz w:val="20"/>
          <w:szCs w:val="20"/>
          <w:color w:val="auto"/>
        </w:rPr>
      </w:pPr>
    </w:p>
    <w:p>
      <w:pPr>
        <w:ind w:right="79"/>
        <w:spacing w:after="0" w:line="277" w:lineRule="auto"/>
        <w:rPr>
          <w:sz w:val="20"/>
          <w:szCs w:val="20"/>
          <w:color w:val="auto"/>
        </w:rPr>
      </w:pPr>
      <w:r>
        <w:rPr>
          <w:rFonts w:ascii="Arial" w:cs="Arial" w:eastAsia="Arial" w:hAnsi="Arial"/>
          <w:sz w:val="18"/>
          <w:szCs w:val="18"/>
          <w:b w:val="1"/>
          <w:bCs w:val="1"/>
          <w:i w:val="1"/>
          <w:iCs w:val="1"/>
          <w:color w:val="auto"/>
        </w:rPr>
        <w:t>Our services present the potential for embezzlement, identity theft, or other similar illegal behavior by our associates with respect to third parties.</w:t>
      </w:r>
    </w:p>
    <w:p>
      <w:pPr>
        <w:spacing w:after="0" w:line="170" w:lineRule="exact"/>
        <w:rPr>
          <w:sz w:val="20"/>
          <w:szCs w:val="20"/>
          <w:color w:val="auto"/>
        </w:rPr>
      </w:pPr>
    </w:p>
    <w:p>
      <w:pPr>
        <w:ind w:right="119" w:firstLine="648"/>
        <w:spacing w:after="0" w:line="272" w:lineRule="auto"/>
        <w:rPr>
          <w:sz w:val="20"/>
          <w:szCs w:val="20"/>
          <w:color w:val="auto"/>
        </w:rPr>
      </w:pPr>
      <w:r>
        <w:rPr>
          <w:rFonts w:ascii="Arial" w:cs="Arial" w:eastAsia="Arial" w:hAnsi="Arial"/>
          <w:sz w:val="17"/>
          <w:szCs w:val="17"/>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78"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70" w:lineRule="exact"/>
        <w:rPr>
          <w:sz w:val="20"/>
          <w:szCs w:val="20"/>
          <w:color w:val="auto"/>
        </w:rPr>
      </w:pPr>
    </w:p>
    <w:p>
      <w:pPr>
        <w:ind w:right="159" w:firstLine="648"/>
        <w:spacing w:after="0" w:line="312" w:lineRule="auto"/>
        <w:rPr>
          <w:sz w:val="20"/>
          <w:szCs w:val="20"/>
          <w:color w:val="auto"/>
        </w:rPr>
      </w:pPr>
      <w:r>
        <w:rPr>
          <w:rFonts w:ascii="Arial" w:cs="Arial" w:eastAsia="Arial" w:hAnsi="Arial"/>
          <w:sz w:val="16"/>
          <w:szCs w:val="16"/>
          <w:color w:val="auto"/>
        </w:rPr>
        <w:t>We rely on third-party couriers such as the United Parcel Service, or UPS, to ship printed checks to our clients. Relying on UPS and other third-party couriers puts us at risk from disruptions in their operations, such as employee strikes, inclement weather and their ability to perform tasks on our behalf. If UPS or other third-party couriers fail to</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or FASB, the Securities and Exchange Commission, or SEC,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Our accounting policies that have been or may be affected by changes in accounting principles include, but are not limited to, revenue recognition and accounting for leases.</w:t>
      </w:r>
    </w:p>
    <w:p>
      <w:pPr>
        <w:spacing w:after="0" w:line="165"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01"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We have acquired and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66"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color w:val="auto"/>
        </w:rPr>
        <w:t>In addition, we have limited experience in acquiring other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47" w:lineRule="exact"/>
        <w:rPr>
          <w:sz w:val="20"/>
          <w:szCs w:val="20"/>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25" w:lineRule="exact"/>
        <w:rPr>
          <w:rFonts w:ascii="Arial" w:cs="Arial" w:eastAsia="Arial" w:hAnsi="Arial"/>
          <w:sz w:val="18"/>
          <w:szCs w:val="18"/>
          <w:color w:val="auto"/>
        </w:rPr>
      </w:pPr>
    </w:p>
    <w:p>
      <w:pPr>
        <w:ind w:left="1300" w:right="120" w:hanging="325"/>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70" w:lineRule="exact"/>
        <w:rPr>
          <w:rFonts w:ascii="Arial" w:cs="Arial" w:eastAsia="Arial" w:hAnsi="Arial"/>
          <w:sz w:val="18"/>
          <w:szCs w:val="18"/>
          <w:color w:val="auto"/>
        </w:rPr>
      </w:pPr>
    </w:p>
    <w:p>
      <w:pPr>
        <w:ind w:left="1300" w:right="400" w:hanging="325"/>
        <w:spacing w:after="0" w:line="264"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Difficulty converting the clients of the acquired business onto our applications and contract terms, including disparities in the revenues, licensing, support or professional services model of the acquired company;</w:t>
      </w:r>
    </w:p>
    <w:p>
      <w:pPr>
        <w:spacing w:after="0" w:line="181"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300" w:right="220" w:hanging="325"/>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70"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In addition, a significant portion of the purchase price of companies we acquire may be allocated to acquired goodwill and other intangible assets, which must be assessed for impairment at least annually. In the future, if our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acquisitions do not yield expected returns, we may be required to take charges to our operating results based on this impairment assessment process, which could adversely affect our results of operations.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As of October 26, 2018, our directors, executive officers and holders of more than 5% of our common stock, together with their respective affiliates, beneficially owned, in the aggregate, approximately 39.0%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trading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181" w:lineRule="exact"/>
        <w:rPr>
          <w:sz w:val="20"/>
          <w:szCs w:val="20"/>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Announcements by us or our competitors of acquisitions, business plans or commercial relationships;</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25" w:lineRule="exact"/>
        <w:rPr>
          <w:rFonts w:ascii="Arial" w:cs="Arial" w:eastAsia="Arial" w:hAnsi="Arial"/>
          <w:sz w:val="18"/>
          <w:szCs w:val="18"/>
          <w:color w:val="auto"/>
        </w:rPr>
      </w:pPr>
    </w:p>
    <w:p>
      <w:pPr>
        <w:ind w:left="1300" w:right="360" w:hanging="325"/>
        <w:spacing w:after="0" w:line="30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Publication of research reports or news stories about us, our competitors, or our industry, or positive or negative recommendations or withdrawal of research coverage by securities analysts;</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public’s reaction to our press releases, our other public announcements and our filings with the SEC;</w:t>
      </w:r>
    </w:p>
    <w:p>
      <w:pPr>
        <w:spacing w:after="0" w:line="248" w:lineRule="exact"/>
        <w:rPr>
          <w:rFonts w:ascii="Arial" w:cs="Arial" w:eastAsia="Arial" w:hAnsi="Arial"/>
          <w:sz w:val="16"/>
          <w:szCs w:val="16"/>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Adverse market reaction to any indebtedness we may incur or securities we may issue in the future;</w:t>
      </w:r>
    </w:p>
    <w:p>
      <w:pPr>
        <w:spacing w:after="0" w:line="236" w:lineRule="exact"/>
        <w:rPr>
          <w:rFonts w:ascii="Arial" w:cs="Arial" w:eastAsia="Arial" w:hAnsi="Arial"/>
          <w:sz w:val="17"/>
          <w:szCs w:val="17"/>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Threatened or actual litigation;</w:t>
      </w:r>
    </w:p>
    <w:p>
      <w:pPr>
        <w:spacing w:after="0" w:line="225" w:lineRule="exact"/>
        <w:rPr>
          <w:rFonts w:ascii="Arial" w:cs="Arial" w:eastAsia="Arial" w:hAnsi="Arial"/>
          <w:sz w:val="18"/>
          <w:szCs w:val="18"/>
          <w:color w:val="auto"/>
        </w:rPr>
      </w:pPr>
    </w:p>
    <w:p>
      <w:pPr>
        <w:ind w:left="1300" w:right="100" w:hanging="325"/>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acts of God, war, incidents of terrorism, or other destabilizing events and the resulting responses to them).</w:t>
      </w:r>
    </w:p>
    <w:p>
      <w:pPr>
        <w:spacing w:after="0" w:line="181"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in the past three fiscal years and do not currently intend to do so for the foreseeable future. We currently intend to invest our future earnings to fund our growth and other corporate initiatives.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shares of our common stock by existing stockholders could depress the market price of our common stock.</w:t>
      </w:r>
    </w:p>
    <w:p>
      <w:pPr>
        <w:spacing w:after="0" w:line="26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of October 26, 2018, we had an aggregate of 52,798,602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5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addition, we have registered 17,853,893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0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 affected, and we could become subject to investigations by the stock exchange on which our securities are listed, the SEC or other regulatory authorities, which could require additional financial and management resources.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and will continue to incur significant expenses as well as devote substantial management effort toward ensuring ongoing compliance with the requirements of Section 404 of the Sarbanes-Oxley Act. Although we have hired additional employees to comply with these requirements, we may need to hire additional accounting and financial staff with appropriate public company experience and technical accounting knowledge to comply with any regulatory changes.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30" w:lineRule="exact"/>
        <w:rPr>
          <w:sz w:val="20"/>
          <w:szCs w:val="20"/>
          <w:color w:val="auto"/>
        </w:rPr>
      </w:pPr>
    </w:p>
    <w:p>
      <w:pPr>
        <w:ind w:left="1300" w:right="240" w:hanging="325"/>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35" w:lineRule="exact"/>
        <w:rPr>
          <w:rFonts w:ascii="Arial" w:cs="Arial" w:eastAsia="Arial" w:hAnsi="Arial"/>
          <w:sz w:val="18"/>
          <w:szCs w:val="18"/>
          <w:color w:val="auto"/>
        </w:rPr>
      </w:pPr>
    </w:p>
    <w:p>
      <w:pPr>
        <w:ind w:left="1300" w:right="300" w:hanging="325"/>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6" w:lineRule="exact"/>
        <w:rPr>
          <w:rFonts w:ascii="Arial" w:cs="Arial" w:eastAsia="Arial" w:hAnsi="Arial"/>
          <w:sz w:val="18"/>
          <w:szCs w:val="18"/>
          <w:color w:val="auto"/>
        </w:rPr>
      </w:pPr>
    </w:p>
    <w:p>
      <w:pPr>
        <w:ind w:left="1300" w:right="260" w:hanging="325"/>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supermajority stockholder vote;</w:t>
      </w:r>
    </w:p>
    <w:p>
      <w:pPr>
        <w:spacing w:after="0" w:line="35" w:lineRule="exact"/>
        <w:rPr>
          <w:rFonts w:ascii="Arial" w:cs="Arial" w:eastAsia="Arial" w:hAnsi="Arial"/>
          <w:sz w:val="18"/>
          <w:szCs w:val="18"/>
          <w:color w:val="auto"/>
        </w:rPr>
      </w:pPr>
    </w:p>
    <w:p>
      <w:pPr>
        <w:ind w:left="1300" w:right="120" w:hanging="325"/>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35"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90" w:lineRule="exact"/>
        <w:rPr>
          <w:rFonts w:ascii="Arial" w:cs="Arial" w:eastAsia="Arial" w:hAnsi="Arial"/>
          <w:sz w:val="18"/>
          <w:szCs w:val="18"/>
          <w:color w:val="auto"/>
        </w:rPr>
      </w:pPr>
    </w:p>
    <w:p>
      <w:pPr>
        <w:ind w:left="1300" w:right="680" w:hanging="325"/>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bylaws provide that the state and federal courts located within the state of Delaware are the sole and exclusive forums for certain legal actions involving the company or our directors, officers and employees.</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The choice of forum provision is expressly authorized by the Delaware General Corporation Law, which was amended so that companies would not have to litigate internal claims in more than one jurisdiction. If a court were to find the exclusive forum provision contained in our bylaws to be inapplicable or unenforceable, we may incur additional costs associated with resolving such extra-forum claims, which could adversely affect our business and financial condition. This bylaws provision, therefore, may dissuade or discourage claimants from initiating lawsuits or claims against us or our directors and officers in forums other than Delaware.</w:t>
      </w:r>
    </w:p>
    <w:p>
      <w:pPr>
        <w:spacing w:after="0" w:line="17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93"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 which was declared effective by the SEC on September 25, 2015. The Company did not receive any proceeds from the sale of common stock, as all the shares were sold by shareholders of the Company.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number of shares of common stock repurchased by us during the three months ended September 30, 2018 are indicated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4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a part of</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of shares that may yet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4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 per share</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plans or programs (1)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the plans or programs</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142"/>
        </w:trPr>
        <w:tc>
          <w:tcPr>
            <w:tcW w:w="2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July 1 - 31, 2018</w:t>
            </w:r>
          </w:p>
        </w:tc>
        <w:tc>
          <w:tcPr>
            <w:tcW w:w="1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260" w:type="dxa"/>
            <w:vAlign w:val="bottom"/>
            <w:tcBorders>
              <w:top w:val="single" w:sz="8" w:color="CCEEFF"/>
            </w:tcBorders>
            <w:shd w:val="clear" w:color="auto" w:fill="CCEEFF"/>
          </w:tcPr>
          <w:p>
            <w:pPr>
              <w:spacing w:after="0"/>
              <w:rPr>
                <w:sz w:val="12"/>
                <w:szCs w:val="12"/>
                <w:color w:val="auto"/>
              </w:rPr>
            </w:pPr>
          </w:p>
        </w:tc>
        <w:tc>
          <w:tcPr>
            <w:tcW w:w="1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tcPr>
          <w:p>
            <w:pPr>
              <w:spacing w:after="0" w:line="149" w:lineRule="exact"/>
              <w:rPr>
                <w:sz w:val="20"/>
                <w:szCs w:val="20"/>
                <w:color w:val="auto"/>
              </w:rPr>
            </w:pPr>
            <w:r>
              <w:rPr>
                <w:rFonts w:ascii="Arial" w:cs="Arial" w:eastAsia="Arial" w:hAnsi="Arial"/>
                <w:sz w:val="14"/>
                <w:szCs w:val="14"/>
                <w:color w:val="auto"/>
              </w:rPr>
              <w:t>August 1 - 31, 2018</w:t>
            </w:r>
          </w:p>
        </w:tc>
        <w:tc>
          <w:tcPr>
            <w:tcW w:w="1480" w:type="dxa"/>
            <w:vAlign w:val="bottom"/>
          </w:tcPr>
          <w:p>
            <w:pPr>
              <w:jc w:val="right"/>
              <w:spacing w:after="0" w:line="149" w:lineRule="exact"/>
              <w:rPr>
                <w:sz w:val="20"/>
                <w:szCs w:val="20"/>
                <w:color w:val="auto"/>
              </w:rPr>
            </w:pPr>
            <w:r>
              <w:rPr>
                <w:rFonts w:ascii="Arial" w:cs="Arial" w:eastAsia="Arial" w:hAnsi="Arial"/>
                <w:sz w:val="14"/>
                <w:szCs w:val="14"/>
                <w:color w:val="auto"/>
              </w:rPr>
              <w:t>166,351</w:t>
            </w:r>
          </w:p>
        </w:tc>
        <w:tc>
          <w:tcPr>
            <w:tcW w:w="4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340" w:type="dxa"/>
            <w:vAlign w:val="bottom"/>
          </w:tcPr>
          <w:p>
            <w:pPr>
              <w:jc w:val="right"/>
              <w:spacing w:after="0" w:line="149" w:lineRule="exact"/>
              <w:rPr>
                <w:sz w:val="20"/>
                <w:szCs w:val="20"/>
                <w:color w:val="auto"/>
              </w:rPr>
            </w:pPr>
            <w:r>
              <w:rPr>
                <w:rFonts w:ascii="Arial" w:cs="Arial" w:eastAsia="Arial" w:hAnsi="Arial"/>
                <w:sz w:val="14"/>
                <w:szCs w:val="14"/>
                <w:color w:val="auto"/>
              </w:rPr>
              <w:t>75.61</w:t>
            </w:r>
          </w:p>
        </w:tc>
        <w:tc>
          <w:tcPr>
            <w:tcW w:w="26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Arial" w:cs="Arial" w:eastAsia="Arial" w:hAnsi="Arial"/>
                <w:sz w:val="14"/>
                <w:szCs w:val="14"/>
                <w:color w:val="auto"/>
              </w:rPr>
              <w:t>166,351</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jc w:val="right"/>
              <w:spacing w:after="0" w:line="149" w:lineRule="exact"/>
              <w:rPr>
                <w:sz w:val="20"/>
                <w:szCs w:val="20"/>
                <w:color w:val="auto"/>
              </w:rPr>
            </w:pPr>
            <w:r>
              <w:rPr>
                <w:rFonts w:ascii="Arial" w:cs="Arial" w:eastAsia="Arial" w:hAnsi="Arial"/>
                <w:sz w:val="14"/>
                <w:szCs w:val="14"/>
                <w:color w:val="auto"/>
              </w:rPr>
              <w:t>22,422,658</w:t>
            </w: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 1 - 30, 2018</w:t>
            </w:r>
          </w:p>
        </w:tc>
        <w:tc>
          <w:tcPr>
            <w:tcW w:w="1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276,220</w:t>
            </w:r>
          </w:p>
        </w:tc>
        <w:tc>
          <w:tcPr>
            <w:tcW w:w="4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81.14</w:t>
            </w:r>
          </w:p>
        </w:tc>
        <w:tc>
          <w:tcPr>
            <w:tcW w:w="260" w:type="dxa"/>
            <w:vAlign w:val="bottom"/>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276,220</w:t>
            </w:r>
          </w:p>
        </w:tc>
        <w:tc>
          <w:tcPr>
            <w:tcW w:w="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00" w:type="dxa"/>
            <w:vAlign w:val="bottom"/>
          </w:tcPr>
          <w:p>
            <w:pPr>
              <w:ind w:left="220"/>
              <w:spacing w:after="0" w:line="142" w:lineRule="exact"/>
              <w:rPr>
                <w:sz w:val="20"/>
                <w:szCs w:val="20"/>
                <w:color w:val="auto"/>
              </w:rPr>
            </w:pPr>
            <w:r>
              <w:rPr>
                <w:rFonts w:ascii="Arial" w:cs="Arial" w:eastAsia="Arial" w:hAnsi="Arial"/>
                <w:sz w:val="14"/>
                <w:szCs w:val="14"/>
                <w:color w:val="auto"/>
              </w:rPr>
              <w:t>Total</w:t>
            </w:r>
          </w:p>
        </w:tc>
        <w:tc>
          <w:tcPr>
            <w:tcW w:w="1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442,571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442,571</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right="20" w:hanging="329"/>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 a stock repurchase plan announced on August 9, 2018, we were authorized to purchase (in the aggregate) up to $35.0 million of our common stock through August 14, 2019 in open market purchases or privately negotiated transactions.</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information required by this Item is set forth in the Index to Exhibits immediately following this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440" w:type="dxa"/>
            <w:vAlign w:val="bottom"/>
            <w:gridSpan w:val="9"/>
          </w:tcPr>
          <w:p>
            <w:pPr>
              <w:ind w:left="20"/>
              <w:spacing w:after="0"/>
              <w:rPr>
                <w:sz w:val="20"/>
                <w:szCs w:val="20"/>
                <w:color w:val="auto"/>
              </w:rPr>
            </w:pPr>
            <w:r>
              <w:rPr>
                <w:rFonts w:ascii="Arial" w:cs="Arial" w:eastAsia="Arial" w:hAnsi="Arial"/>
                <w:sz w:val="18"/>
                <w:szCs w:val="18"/>
                <w:b w:val="1"/>
                <w:bCs w:val="1"/>
                <w:color w:val="auto"/>
              </w:rPr>
              <w:t>INDEX TO EXHIBITS</w:t>
            </w:r>
          </w:p>
        </w:tc>
      </w:tr>
      <w:tr>
        <w:trPr>
          <w:trHeight w:val="392"/>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Nos.</w:t>
            </w:r>
          </w:p>
        </w:tc>
        <w:tc>
          <w:tcPr>
            <w:tcW w:w="28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gridSpan w:val="9"/>
          </w:tcPr>
          <w:p>
            <w:pPr>
              <w:ind w:left="1160"/>
              <w:spacing w:after="0"/>
              <w:rPr>
                <w:sz w:val="20"/>
                <w:szCs w:val="20"/>
                <w:color w:val="auto"/>
              </w:rPr>
            </w:pPr>
            <w:r>
              <w:rPr>
                <w:rFonts w:ascii="Arial" w:cs="Arial" w:eastAsia="Arial" w:hAnsi="Arial"/>
                <w:sz w:val="14"/>
                <w:szCs w:val="14"/>
                <w:b w:val="1"/>
                <w:bCs w:val="1"/>
                <w:color w:val="auto"/>
              </w:rPr>
              <w:t>Description</w:t>
            </w: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rPr>
            </w:pPr>
            <w:hyperlink r:id="rId68">
              <w:r>
                <w:rPr>
                  <w:rFonts w:ascii="Arial" w:cs="Arial" w:eastAsia="Arial" w:hAnsi="Arial"/>
                  <w:sz w:val="18"/>
                  <w:szCs w:val="18"/>
                  <w:color w:val="0000EE"/>
                </w:rPr>
                <w:t>First Amended and Restated Certificate of Incorporation (filed as Exhibit 3.2 of Paylocity Holding</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7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Corporation’s Form S-1 Registration Statement (Registration No. 333-193661).</w:t>
              </w:r>
            </w:hyperlink>
          </w:p>
        </w:tc>
        <w:tc>
          <w:tcPr>
            <w:tcW w:w="1360" w:type="dxa"/>
            <w:vAlign w:val="bottom"/>
            <w:tcBorders>
              <w:top w:val="single" w:sz="8" w:color="0000EE"/>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4"/>
              </w:rPr>
            </w:pPr>
            <w:hyperlink r:id="rId69">
              <w:r>
                <w:rPr>
                  <w:rFonts w:ascii="Arial" w:cs="Arial" w:eastAsia="Arial" w:hAnsi="Arial"/>
                  <w:sz w:val="18"/>
                  <w:szCs w:val="18"/>
                  <w:color w:val="0000EE"/>
                  <w:w w:val="94"/>
                </w:rPr>
                <w:t>Amended and Restated Bylaws of Paylocity Holding Corporation (filed as Exhibit 3.2 of Paylocity Holding</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6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Corporation’s Annual Report on Form 10-K for the year ended June 30, 2017 (File No. 001-36348)).</w:t>
              </w:r>
            </w:hyperlink>
          </w:p>
        </w:tc>
        <w:tc>
          <w:tcPr>
            <w:tcW w:w="480" w:type="dxa"/>
            <w:vAlign w:val="bottom"/>
            <w:tcBorders>
              <w:top w:val="single" w:sz="8" w:color="0000EE"/>
            </w:tcBorders>
            <w:gridSpan w:val="4"/>
          </w:tcPr>
          <w:p>
            <w:pPr>
              <w:spacing w:after="0"/>
              <w:rPr>
                <w:sz w:val="15"/>
                <w:szCs w:val="15"/>
                <w:color w:val="auto"/>
              </w:rPr>
            </w:pPr>
          </w:p>
        </w:tc>
        <w:tc>
          <w:tcPr>
            <w:tcW w:w="120" w:type="dxa"/>
            <w:vAlign w:val="bottom"/>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Certification of Chief Executive Officer pursuant to Securities Exchange Act Rules 13a-4 and 15d-14 as</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adopted pursuant to Section 302 of the Sarbanes-Oxley Act of 2002.</w:t>
              </w:r>
            </w:hyperlink>
          </w:p>
        </w:tc>
        <w:tc>
          <w:tcPr>
            <w:tcW w:w="2580" w:type="dxa"/>
            <w:vAlign w:val="bottom"/>
            <w:tcBorders>
              <w:top w:val="single" w:sz="8" w:color="0000EE"/>
            </w:tcBorders>
            <w:gridSpan w:val="6"/>
          </w:tcPr>
          <w:p>
            <w:pPr>
              <w:spacing w:after="0"/>
              <w:rPr>
                <w:sz w:val="15"/>
                <w:szCs w:val="15"/>
                <w:color w:val="auto"/>
              </w:rPr>
            </w:pPr>
          </w:p>
        </w:tc>
        <w:tc>
          <w:tcPr>
            <w:tcW w:w="360" w:type="dxa"/>
            <w:vAlign w:val="bottom"/>
            <w:gridSpan w:val="2"/>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6"/>
              </w:rPr>
            </w:pPr>
            <w:hyperlink w:anchor="page60">
              <w:r>
                <w:rPr>
                  <w:rFonts w:ascii="Arial" w:cs="Arial" w:eastAsia="Arial" w:hAnsi="Arial"/>
                  <w:sz w:val="18"/>
                  <w:szCs w:val="18"/>
                  <w:color w:val="0000EE"/>
                  <w:w w:val="96"/>
                </w:rPr>
                <w:t>Certification of Chief Financial Officer pursuant to Securities Exchange Act Rules 13a-4 and 15d-14 as</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9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adopted pursuant to Section 302 of the Sarbanes-Oxley Act of 2002.</w:t>
              </w:r>
            </w:hyperlink>
          </w:p>
        </w:tc>
        <w:tc>
          <w:tcPr>
            <w:tcW w:w="2520" w:type="dxa"/>
            <w:vAlign w:val="bottom"/>
            <w:tcBorders>
              <w:top w:val="single" w:sz="8" w:color="0000EE"/>
            </w:tcBorders>
            <w:gridSpan w:val="4"/>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gridSpan w:val="3"/>
          </w:tcPr>
          <w:p>
            <w:pPr>
              <w:spacing w:after="0"/>
              <w:rPr>
                <w:sz w:val="15"/>
                <w:szCs w:val="15"/>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5"/>
              </w:rPr>
            </w:pPr>
            <w:hyperlink w:anchor="page61">
              <w:r>
                <w:rPr>
                  <w:rFonts w:ascii="Arial" w:cs="Arial" w:eastAsia="Arial" w:hAnsi="Arial"/>
                  <w:sz w:val="18"/>
                  <w:szCs w:val="18"/>
                  <w:color w:val="0000EE"/>
                  <w:w w:val="95"/>
                </w:rPr>
                <w:t>Certification pursuant to 18 U.S.C. 1350, adopted pursuant to Section 906 of the Sarbanes-Oxley Act of</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1">
              <w:r>
                <w:rPr>
                  <w:rFonts w:ascii="Arial" w:cs="Arial" w:eastAsia="Arial" w:hAnsi="Arial"/>
                  <w:sz w:val="18"/>
                  <w:szCs w:val="18"/>
                  <w:color w:val="0000EE"/>
                </w:rPr>
                <w:t>2002, by Chief Executive Officer.</w:t>
              </w:r>
            </w:hyperlink>
          </w:p>
        </w:tc>
        <w:tc>
          <w:tcPr>
            <w:tcW w:w="380" w:type="dxa"/>
            <w:vAlign w:val="bottom"/>
            <w:gridSpan w:val="3"/>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tcBorders>
              <w:right w:val="single" w:sz="8" w:color="0000EE"/>
            </w:tcBorders>
            <w:shd w:val="clear" w:color="auto" w:fill="0000EE"/>
          </w:tcPr>
          <w:p>
            <w:pPr>
              <w:spacing w:after="0" w:line="20" w:lineRule="exact"/>
              <w:rPr>
                <w:sz w:val="1"/>
                <w:szCs w:val="1"/>
                <w:color w:val="auto"/>
              </w:rPr>
            </w:pPr>
          </w:p>
        </w:tc>
        <w:tc>
          <w:tcPr>
            <w:tcW w:w="5440" w:type="dxa"/>
            <w:vAlign w:val="bottom"/>
            <w:gridSpan w:val="9"/>
          </w:tcPr>
          <w:p>
            <w:pPr>
              <w:spacing w:after="0" w:line="20" w:lineRule="exact"/>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7860" w:type="dxa"/>
            <w:vAlign w:val="bottom"/>
            <w:gridSpan w:val="10"/>
          </w:tcPr>
          <w:p>
            <w:pPr>
              <w:spacing w:after="0"/>
              <w:rPr>
                <w:rFonts w:ascii="Arial" w:cs="Arial" w:eastAsia="Arial" w:hAnsi="Arial"/>
                <w:sz w:val="18"/>
                <w:szCs w:val="18"/>
                <w:color w:val="0000EE"/>
                <w:w w:val="95"/>
              </w:rPr>
            </w:pPr>
            <w:hyperlink w:anchor="page62">
              <w:r>
                <w:rPr>
                  <w:rFonts w:ascii="Arial" w:cs="Arial" w:eastAsia="Arial" w:hAnsi="Arial"/>
                  <w:sz w:val="18"/>
                  <w:szCs w:val="18"/>
                  <w:color w:val="0000EE"/>
                  <w:w w:val="95"/>
                </w:rPr>
                <w:t>Certification pursuant to 18 U.S.C. 1350, adopted pursuant to Section 906 of the Sarbanes-Oxley Act of</w:t>
              </w:r>
            </w:hyperlink>
          </w:p>
        </w:tc>
      </w:tr>
      <w:tr>
        <w:trPr>
          <w:trHeight w:val="183"/>
        </w:trPr>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2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2002, by Chief Financial Officer.</w:t>
              </w:r>
            </w:hyperlink>
          </w:p>
        </w:tc>
        <w:tc>
          <w:tcPr>
            <w:tcW w:w="5060" w:type="dxa"/>
            <w:vAlign w:val="bottom"/>
            <w:tcBorders>
              <w:top w:val="single" w:sz="8" w:color="0000EE"/>
            </w:tcBorders>
            <w:gridSpan w:val="6"/>
          </w:tcPr>
          <w:p>
            <w:pPr>
              <w:spacing w:after="0"/>
              <w:rPr>
                <w:sz w:val="15"/>
                <w:szCs w:val="15"/>
                <w:color w:val="auto"/>
              </w:rPr>
            </w:pPr>
          </w:p>
        </w:tc>
        <w:tc>
          <w:tcPr>
            <w:tcW w:w="380" w:type="dxa"/>
            <w:vAlign w:val="bottom"/>
            <w:gridSpan w:val="3"/>
          </w:tcPr>
          <w:p>
            <w:pPr>
              <w:spacing w:after="0"/>
              <w:rPr>
                <w:sz w:val="15"/>
                <w:szCs w:val="15"/>
                <w:color w:val="auto"/>
              </w:rPr>
            </w:pPr>
          </w:p>
        </w:tc>
      </w:tr>
      <w:tr>
        <w:trPr>
          <w:trHeight w:val="426"/>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4"/>
                <w:szCs w:val="24"/>
                <w:color w:val="auto"/>
              </w:rPr>
            </w:pPr>
          </w:p>
        </w:tc>
        <w:tc>
          <w:tcPr>
            <w:tcW w:w="786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4408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2" w:lineRule="exact"/>
        <w:rPr>
          <w:sz w:val="20"/>
          <w:szCs w:val="20"/>
          <w:color w:val="auto"/>
        </w:rPr>
      </w:pPr>
    </w:p>
    <w:p>
      <w:pPr>
        <w:ind w:left="280" w:hanging="278"/>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280" w:hanging="277"/>
        <w:spacing w:after="0"/>
        <w:tabs>
          <w:tab w:leader="none" w:pos="2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280" w:type="dxa"/>
            <w:vAlign w:val="bottom"/>
            <w:gridSpan w:val="2"/>
          </w:tcPr>
          <w:p>
            <w:pPr>
              <w:ind w:left="1620"/>
              <w:spacing w:after="0"/>
              <w:rPr>
                <w:sz w:val="20"/>
                <w:szCs w:val="20"/>
                <w:color w:val="auto"/>
              </w:rPr>
            </w:pPr>
            <w:r>
              <w:rPr>
                <w:rFonts w:ascii="Arial" w:cs="Arial" w:eastAsia="Arial" w:hAnsi="Arial"/>
                <w:sz w:val="18"/>
                <w:szCs w:val="18"/>
                <w:color w:val="auto"/>
              </w:rPr>
              <w:t>PAYLOCITY HOLDING CORPORATION</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160"/>
              <w:spacing w:after="0"/>
              <w:rPr>
                <w:sz w:val="20"/>
                <w:szCs w:val="20"/>
                <w:color w:val="auto"/>
              </w:rPr>
            </w:pPr>
            <w:r>
              <w:rPr>
                <w:rFonts w:ascii="Arial" w:cs="Arial" w:eastAsia="Arial" w:hAnsi="Arial"/>
                <w:sz w:val="18"/>
                <w:szCs w:val="18"/>
                <w:color w:val="auto"/>
              </w:rPr>
              <w:t>November 2, 2018</w:t>
            </w:r>
          </w:p>
        </w:tc>
        <w:tc>
          <w:tcPr>
            <w:tcW w:w="2220" w:type="dxa"/>
            <w:vAlign w:val="bottom"/>
          </w:tcPr>
          <w:p>
            <w:pPr>
              <w:ind w:left="1620"/>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198"/>
        </w:trPr>
        <w:tc>
          <w:tcPr>
            <w:tcW w:w="5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20" w:type="dxa"/>
            <w:vAlign w:val="bottom"/>
          </w:tcPr>
          <w:p>
            <w:pPr>
              <w:ind w:left="1620"/>
              <w:spacing w:after="0" w:line="198" w:lineRule="exact"/>
              <w:rPr>
                <w:sz w:val="20"/>
                <w:szCs w:val="20"/>
                <w:color w:val="auto"/>
              </w:rPr>
            </w:pPr>
            <w:r>
              <w:rPr>
                <w:rFonts w:ascii="Arial" w:cs="Arial" w:eastAsia="Arial" w:hAnsi="Arial"/>
                <w:sz w:val="18"/>
                <w:szCs w:val="18"/>
                <w:b w:val="1"/>
                <w:bCs w:val="1"/>
                <w:color w:val="auto"/>
              </w:rPr>
              <w:t>Name:</w:t>
            </w:r>
          </w:p>
        </w:tc>
        <w:tc>
          <w:tcPr>
            <w:tcW w:w="3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Steven R. Beauchamp</w:t>
            </w:r>
          </w:p>
        </w:tc>
      </w:tr>
      <w:tr>
        <w:trPr>
          <w:trHeight w:val="216"/>
        </w:trPr>
        <w:tc>
          <w:tcPr>
            <w:tcW w:w="5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20" w:type="dxa"/>
            <w:vAlign w:val="bottom"/>
          </w:tcPr>
          <w:p>
            <w:pPr>
              <w:ind w:left="1620"/>
              <w:spacing w:after="0"/>
              <w:rPr>
                <w:sz w:val="20"/>
                <w:szCs w:val="20"/>
                <w:color w:val="auto"/>
              </w:rPr>
            </w:pPr>
            <w:r>
              <w:rPr>
                <w:rFonts w:ascii="Arial" w:cs="Arial" w:eastAsia="Arial" w:hAnsi="Arial"/>
                <w:sz w:val="18"/>
                <w:szCs w:val="18"/>
                <w:b w:val="1"/>
                <w:bCs w:val="1"/>
                <w:color w:val="auto"/>
              </w:rPr>
              <w:t>Title:</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 (Principal</w:t>
            </w:r>
          </w:p>
        </w:tc>
      </w:tr>
      <w:tr>
        <w:trPr>
          <w:trHeight w:val="234"/>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1"/>
              </w:rPr>
              <w:t>Executive Officer) and Director</w:t>
            </w:r>
          </w:p>
        </w:tc>
      </w:tr>
      <w:tr>
        <w:trPr>
          <w:trHeight w:val="65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160"/>
              <w:spacing w:after="0"/>
              <w:rPr>
                <w:sz w:val="20"/>
                <w:szCs w:val="20"/>
                <w:color w:val="auto"/>
              </w:rPr>
            </w:pPr>
            <w:r>
              <w:rPr>
                <w:rFonts w:ascii="Arial" w:cs="Arial" w:eastAsia="Arial" w:hAnsi="Arial"/>
                <w:sz w:val="18"/>
                <w:szCs w:val="18"/>
                <w:color w:val="auto"/>
              </w:rPr>
              <w:t>November 2, 2018</w:t>
            </w:r>
          </w:p>
        </w:tc>
        <w:tc>
          <w:tcPr>
            <w:tcW w:w="2220" w:type="dxa"/>
            <w:vAlign w:val="bottom"/>
          </w:tcPr>
          <w:p>
            <w:pPr>
              <w:ind w:left="1620"/>
              <w:spacing w:after="0"/>
              <w:rPr>
                <w:sz w:val="20"/>
                <w:szCs w:val="20"/>
                <w:color w:val="auto"/>
              </w:rPr>
            </w:pPr>
            <w:r>
              <w:rPr>
                <w:rFonts w:ascii="Arial" w:cs="Arial" w:eastAsia="Arial" w:hAnsi="Arial"/>
                <w:sz w:val="18"/>
                <w:szCs w:val="18"/>
                <w:color w:val="auto"/>
              </w:rPr>
              <w:t>By:</w:t>
            </w: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Toby J. Williams</w:t>
            </w:r>
          </w:p>
        </w:tc>
      </w:tr>
      <w:tr>
        <w:trPr>
          <w:trHeight w:val="198"/>
        </w:trPr>
        <w:tc>
          <w:tcPr>
            <w:tcW w:w="5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20" w:type="dxa"/>
            <w:vAlign w:val="bottom"/>
          </w:tcPr>
          <w:p>
            <w:pPr>
              <w:ind w:left="1620"/>
              <w:spacing w:after="0" w:line="198" w:lineRule="exact"/>
              <w:rPr>
                <w:sz w:val="20"/>
                <w:szCs w:val="20"/>
                <w:color w:val="auto"/>
              </w:rPr>
            </w:pPr>
            <w:r>
              <w:rPr>
                <w:rFonts w:ascii="Arial" w:cs="Arial" w:eastAsia="Arial" w:hAnsi="Arial"/>
                <w:sz w:val="18"/>
                <w:szCs w:val="18"/>
                <w:b w:val="1"/>
                <w:bCs w:val="1"/>
                <w:color w:val="auto"/>
              </w:rPr>
              <w:t>Name:</w:t>
            </w:r>
          </w:p>
        </w:tc>
        <w:tc>
          <w:tcPr>
            <w:tcW w:w="30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Toby J. Williams</w:t>
            </w:r>
          </w:p>
        </w:tc>
      </w:tr>
      <w:tr>
        <w:trPr>
          <w:trHeight w:val="216"/>
        </w:trPr>
        <w:tc>
          <w:tcPr>
            <w:tcW w:w="5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20" w:type="dxa"/>
            <w:vAlign w:val="bottom"/>
          </w:tcPr>
          <w:p>
            <w:pPr>
              <w:ind w:left="1620"/>
              <w:spacing w:after="0"/>
              <w:rPr>
                <w:sz w:val="20"/>
                <w:szCs w:val="20"/>
                <w:color w:val="auto"/>
              </w:rPr>
            </w:pPr>
            <w:r>
              <w:rPr>
                <w:rFonts w:ascii="Arial" w:cs="Arial" w:eastAsia="Arial" w:hAnsi="Arial"/>
                <w:sz w:val="18"/>
                <w:szCs w:val="18"/>
                <w:b w:val="1"/>
                <w:bCs w:val="1"/>
                <w:color w:val="auto"/>
              </w:rPr>
              <w:t>Title:</w:t>
            </w: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2"/>
              </w:rPr>
              <w:t>Chief Financial Officer (Principal</w:t>
            </w:r>
          </w:p>
        </w:tc>
      </w:tr>
      <w:tr>
        <w:trPr>
          <w:trHeight w:val="234"/>
        </w:trPr>
        <w:tc>
          <w:tcPr>
            <w:tcW w:w="5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060" w:type="dxa"/>
            <w:vAlign w:val="bottom"/>
          </w:tcPr>
          <w:p>
            <w:pPr>
              <w:jc w:val="center"/>
              <w:spacing w:after="0"/>
              <w:rPr>
                <w:sz w:val="20"/>
                <w:szCs w:val="20"/>
                <w:color w:val="auto"/>
              </w:rPr>
            </w:pPr>
            <w:r>
              <w:rPr>
                <w:rFonts w:ascii="Arial" w:cs="Arial" w:eastAsia="Arial" w:hAnsi="Arial"/>
                <w:sz w:val="18"/>
                <w:szCs w:val="18"/>
                <w:b w:val="1"/>
                <w:bCs w:val="1"/>
                <w:color w:val="auto"/>
                <w:w w:val="93"/>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144" w:lineRule="exact"/>
        <w:rPr>
          <w:sz w:val="20"/>
          <w:szCs w:val="20"/>
          <w:color w:val="auto"/>
        </w:rPr>
      </w:pPr>
    </w:p>
    <w:p>
      <w:pPr>
        <w:ind w:left="1280" w:hanging="395"/>
        <w:spacing w:after="0"/>
        <w:tabs>
          <w:tab w:leader="none" w:pos="12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300" w:firstLine="445"/>
        <w:spacing w:after="0" w:line="259" w:lineRule="auto"/>
        <w:tabs>
          <w:tab w:leader="none" w:pos="1726" w:val="left"/>
        </w:tabs>
        <w:numPr>
          <w:ilvl w:val="1"/>
          <w:numId w:val="2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September 30, 2018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440" w:right="60" w:firstLine="445"/>
        <w:spacing w:after="0" w:line="224" w:lineRule="auto"/>
        <w:tabs>
          <w:tab w:leader="none" w:pos="128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November 2, 2018</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151"/>
        </w:trPr>
        <w:tc>
          <w:tcPr>
            <w:tcW w:w="5180" w:type="dxa"/>
            <w:vAlign w:val="bottom"/>
          </w:tcPr>
          <w:p>
            <w:pPr>
              <w:ind w:left="4540"/>
              <w:spacing w:after="0" w:line="151" w:lineRule="exact"/>
              <w:rPr>
                <w:sz w:val="20"/>
                <w:szCs w:val="20"/>
                <w:color w:val="auto"/>
              </w:rPr>
            </w:pPr>
            <w:r>
              <w:rPr>
                <w:rFonts w:ascii="Arial" w:cs="Arial" w:eastAsia="Arial" w:hAnsi="Arial"/>
                <w:sz w:val="17"/>
                <w:szCs w:val="17"/>
                <w:b w:val="1"/>
                <w:bCs w:val="1"/>
                <w:color w:val="auto"/>
              </w:rPr>
              <w:t>Name:</w:t>
            </w:r>
          </w:p>
        </w:tc>
        <w:tc>
          <w:tcPr>
            <w:tcW w:w="3880" w:type="dxa"/>
            <w:vAlign w:val="bottom"/>
          </w:tcPr>
          <w:p>
            <w:pPr>
              <w:jc w:val="center"/>
              <w:spacing w:after="0" w:line="151" w:lineRule="exact"/>
              <w:rPr>
                <w:sz w:val="20"/>
                <w:szCs w:val="20"/>
                <w:color w:val="auto"/>
              </w:rPr>
            </w:pPr>
            <w:r>
              <w:rPr>
                <w:rFonts w:ascii="Arial" w:cs="Arial" w:eastAsia="Arial" w:hAnsi="Arial"/>
                <w:sz w:val="17"/>
                <w:szCs w:val="17"/>
                <w:b w:val="1"/>
                <w:bCs w:val="1"/>
                <w:color w:val="auto"/>
                <w:w w:val="94"/>
              </w:rPr>
              <w:t>Steven R. Beauchamp</w:t>
            </w:r>
          </w:p>
        </w:tc>
      </w:tr>
      <w:tr>
        <w:trPr>
          <w:trHeight w:val="203"/>
        </w:trPr>
        <w:tc>
          <w:tcPr>
            <w:tcW w:w="5180" w:type="dxa"/>
            <w:vAlign w:val="bottom"/>
          </w:tcPr>
          <w:p>
            <w:pPr>
              <w:ind w:left="4540"/>
              <w:spacing w:after="0" w:line="202" w:lineRule="exact"/>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1"/>
              </w:rPr>
              <w:t>Chief Executive Officer (Principal Executive</w:t>
            </w:r>
          </w:p>
        </w:tc>
      </w:tr>
      <w:tr>
        <w:trPr>
          <w:trHeight w:val="234"/>
        </w:trPr>
        <w:tc>
          <w:tcPr>
            <w:tcW w:w="51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3"/>
              </w:rPr>
              <w:t>Officer) and Director</w:t>
            </w:r>
          </w:p>
        </w:tc>
      </w:tr>
      <w:tr>
        <w:trPr>
          <w:trHeight w:val="399"/>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Toby J. Williams, certify that:</w:t>
      </w:r>
    </w:p>
    <w:p>
      <w:pPr>
        <w:spacing w:after="0" w:line="144" w:lineRule="exact"/>
        <w:rPr>
          <w:sz w:val="20"/>
          <w:szCs w:val="20"/>
          <w:color w:val="auto"/>
        </w:rPr>
      </w:pPr>
    </w:p>
    <w:p>
      <w:pPr>
        <w:ind w:left="1280" w:hanging="395"/>
        <w:spacing w:after="0"/>
        <w:tabs>
          <w:tab w:leader="none" w:pos="12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300" w:firstLine="445"/>
        <w:spacing w:after="0" w:line="259" w:lineRule="auto"/>
        <w:tabs>
          <w:tab w:leader="none" w:pos="1726"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September 30, 2018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440" w:right="60" w:firstLine="445"/>
        <w:spacing w:after="0" w:line="224" w:lineRule="auto"/>
        <w:tabs>
          <w:tab w:leader="none" w:pos="12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November 2, 2018</w:t>
            </w:r>
          </w:p>
        </w:tc>
        <w:tc>
          <w:tcPr>
            <w:tcW w:w="3880" w:type="dxa"/>
            <w:vAlign w:val="bottom"/>
          </w:tcPr>
          <w:p>
            <w:pPr>
              <w:jc w:val="center"/>
              <w:spacing w:after="0"/>
              <w:rPr>
                <w:sz w:val="20"/>
                <w:szCs w:val="20"/>
                <w:color w:val="auto"/>
              </w:rPr>
            </w:pPr>
            <w:r>
              <w:rPr>
                <w:rFonts w:ascii="Arial" w:cs="Arial" w:eastAsia="Arial" w:hAnsi="Arial"/>
                <w:sz w:val="18"/>
                <w:szCs w:val="18"/>
                <w:color w:val="auto"/>
                <w:w w:val="92"/>
              </w:rPr>
              <w:t>/S/ Toby J. Williams</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4540"/>
              <w:spacing w:after="0" w:line="189" w:lineRule="exact"/>
              <w:rPr>
                <w:sz w:val="20"/>
                <w:szCs w:val="20"/>
                <w:color w:val="auto"/>
              </w:rPr>
            </w:pPr>
            <w:r>
              <w:rPr>
                <w:rFonts w:ascii="Arial" w:cs="Arial" w:eastAsia="Arial" w:hAnsi="Arial"/>
                <w:sz w:val="18"/>
                <w:szCs w:val="18"/>
                <w:b w:val="1"/>
                <w:bCs w:val="1"/>
                <w:color w:val="auto"/>
              </w:rPr>
              <w:t>Name:</w:t>
            </w: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38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Toby J. Williams</w:t>
            </w:r>
          </w:p>
        </w:tc>
        <w:tc>
          <w:tcPr>
            <w:tcW w:w="0" w:type="dxa"/>
            <w:vAlign w:val="bottom"/>
          </w:tcPr>
          <w:p>
            <w:pPr>
              <w:spacing w:after="0"/>
              <w:rPr>
                <w:sz w:val="1"/>
                <w:szCs w:val="1"/>
                <w:color w:val="auto"/>
              </w:rPr>
            </w:pPr>
          </w:p>
        </w:tc>
      </w:tr>
      <w:tr>
        <w:trPr>
          <w:trHeight w:val="176"/>
        </w:trPr>
        <w:tc>
          <w:tcPr>
            <w:tcW w:w="5180" w:type="dxa"/>
            <w:vAlign w:val="bottom"/>
          </w:tcPr>
          <w:p>
            <w:pPr>
              <w:ind w:left="4540"/>
              <w:spacing w:after="0" w:line="176" w:lineRule="exact"/>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Chief Financial Officer (Principal Financial</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6"/>
              </w:rPr>
              <w:t>Officer)</w:t>
            </w:r>
          </w:p>
        </w:tc>
        <w:tc>
          <w:tcPr>
            <w:tcW w:w="0" w:type="dxa"/>
            <w:vAlign w:val="bottom"/>
          </w:tcPr>
          <w:p>
            <w:pPr>
              <w:spacing w:after="0"/>
              <w:rPr>
                <w:sz w:val="1"/>
                <w:szCs w:val="1"/>
                <w:color w:val="auto"/>
              </w:rPr>
            </w:pPr>
          </w:p>
        </w:tc>
      </w:tr>
      <w:tr>
        <w:trPr>
          <w:trHeight w:val="380"/>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23" w:lineRule="exact"/>
        <w:rPr>
          <w:sz w:val="20"/>
          <w:szCs w:val="20"/>
          <w:color w:val="auto"/>
        </w:rPr>
      </w:pPr>
    </w:p>
    <w:p>
      <w:pPr>
        <w:ind w:right="100" w:firstLine="441"/>
        <w:spacing w:after="0" w:line="214" w:lineRule="auto"/>
        <w:rPr>
          <w:sz w:val="20"/>
          <w:szCs w:val="20"/>
          <w:color w:val="auto"/>
        </w:rPr>
      </w:pPr>
      <w:r>
        <w:rPr>
          <w:rFonts w:ascii="Arial" w:cs="Arial" w:eastAsia="Arial" w:hAnsi="Arial"/>
          <w:sz w:val="18"/>
          <w:szCs w:val="18"/>
          <w:color w:val="auto"/>
        </w:rPr>
        <w:t>The undersigned, the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September 30, 2018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20"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Dated: November 2, 2018</w:t>
      </w:r>
      <w:r>
        <w:rPr>
          <w:sz w:val="20"/>
          <w:szCs w:val="20"/>
          <w:color w:val="auto"/>
        </w:rPr>
        <w:tab/>
      </w:r>
      <w:r>
        <w:rPr>
          <w:rFonts w:ascii="Arial" w:cs="Arial" w:eastAsia="Arial" w:hAnsi="Arial"/>
          <w:sz w:val="15"/>
          <w:szCs w:val="15"/>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jc w:val="center"/>
        <w:ind w:left="4540"/>
        <w:spacing w:after="0" w:line="203" w:lineRule="auto"/>
        <w:rPr>
          <w:sz w:val="20"/>
          <w:szCs w:val="20"/>
          <w:color w:val="auto"/>
        </w:rPr>
      </w:pPr>
      <w:r>
        <w:rPr>
          <w:rFonts w:ascii="Arial" w:cs="Arial" w:eastAsia="Arial" w:hAnsi="Arial"/>
          <w:sz w:val="18"/>
          <w:szCs w:val="18"/>
          <w:b w:val="1"/>
          <w:bCs w:val="1"/>
          <w:color w:val="auto"/>
        </w:rPr>
        <w:t>Steven R. Beauchamp</w:t>
      </w:r>
    </w:p>
    <w:p>
      <w:pPr>
        <w:jc w:val="center"/>
        <w:ind w:left="4540"/>
        <w:spacing w:after="0" w:line="229" w:lineRule="auto"/>
        <w:rPr>
          <w:sz w:val="20"/>
          <w:szCs w:val="20"/>
          <w:color w:val="auto"/>
        </w:rPr>
      </w:pPr>
      <w:r>
        <w:rPr>
          <w:rFonts w:ascii="Arial" w:cs="Arial" w:eastAsia="Arial" w:hAnsi="Arial"/>
          <w:sz w:val="16"/>
          <w:szCs w:val="16"/>
          <w:b w:val="1"/>
          <w:bCs w:val="1"/>
          <w:color w:val="auto"/>
        </w:rPr>
        <w:t>Chief Executive Officer (Principal Executive Officer) and</w:t>
      </w:r>
    </w:p>
    <w:p>
      <w:pPr>
        <w:spacing w:after="0" w:line="1" w:lineRule="exact"/>
        <w:rPr>
          <w:sz w:val="20"/>
          <w:szCs w:val="20"/>
          <w:color w:val="auto"/>
        </w:rPr>
      </w:pPr>
    </w:p>
    <w:p>
      <w:pPr>
        <w:jc w:val="center"/>
        <w:ind w:left="4540"/>
        <w:spacing w:after="0"/>
        <w:rPr>
          <w:sz w:val="20"/>
          <w:szCs w:val="20"/>
          <w:color w:val="auto"/>
        </w:rPr>
      </w:pPr>
      <w:r>
        <w:rPr>
          <w:rFonts w:ascii="Arial" w:cs="Arial" w:eastAsia="Arial" w:hAnsi="Arial"/>
          <w:sz w:val="18"/>
          <w:szCs w:val="18"/>
          <w:b w:val="1"/>
          <w:bCs w:val="1"/>
          <w:color w:val="auto"/>
        </w:rPr>
        <w:t>Director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23" w:lineRule="exact"/>
        <w:rPr>
          <w:sz w:val="20"/>
          <w:szCs w:val="20"/>
          <w:color w:val="auto"/>
        </w:rPr>
      </w:pPr>
    </w:p>
    <w:p>
      <w:pPr>
        <w:ind w:right="100" w:firstLine="441"/>
        <w:spacing w:after="0" w:line="214" w:lineRule="auto"/>
        <w:rPr>
          <w:sz w:val="20"/>
          <w:szCs w:val="20"/>
          <w:color w:val="auto"/>
        </w:rPr>
      </w:pPr>
      <w:r>
        <w:rPr>
          <w:rFonts w:ascii="Arial" w:cs="Arial" w:eastAsia="Arial" w:hAnsi="Arial"/>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September 30, 2018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33"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November 2, 2018</w:t>
      </w:r>
      <w:r>
        <w:rPr>
          <w:sz w:val="20"/>
          <w:szCs w:val="20"/>
          <w:color w:val="auto"/>
        </w:rPr>
        <w:tab/>
      </w:r>
      <w:r>
        <w:rPr>
          <w:rFonts w:ascii="Arial" w:cs="Arial" w:eastAsia="Arial" w:hAnsi="Arial"/>
          <w:sz w:val="16"/>
          <w:szCs w:val="16"/>
          <w:color w:val="auto"/>
        </w:rPr>
        <w:t>/S/ Toby J.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-635</wp:posOffset>
            </wp:positionV>
            <wp:extent cx="30784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jc w:val="center"/>
        <w:ind w:left="4220"/>
        <w:spacing w:after="0" w:line="203" w:lineRule="auto"/>
        <w:rPr>
          <w:sz w:val="20"/>
          <w:szCs w:val="20"/>
          <w:color w:val="auto"/>
        </w:rPr>
      </w:pPr>
      <w:r>
        <w:rPr>
          <w:rFonts w:ascii="Arial" w:cs="Arial" w:eastAsia="Arial" w:hAnsi="Arial"/>
          <w:sz w:val="18"/>
          <w:szCs w:val="18"/>
          <w:b w:val="1"/>
          <w:bCs w:val="1"/>
          <w:color w:val="auto"/>
        </w:rPr>
        <w:t>Toby J. Williams</w:t>
      </w:r>
    </w:p>
    <w:p>
      <w:pPr>
        <w:jc w:val="center"/>
        <w:ind w:left="422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1)"/>
      <w:numFmt w:val="lowerLetter"/>
      <w:start w:val="2"/>
    </w:lvl>
  </w:abstractNum>
  <w:abstractNum w:abstractNumId="4">
    <w:nsid w:val="4E6AFB66"/>
    <w:multiLevelType w:val="hybridMultilevel"/>
    <w:lvl w:ilvl="0">
      <w:lvlJc w:val="left"/>
      <w:lvlText w:val="(%1)"/>
      <w:numFmt w:val="lowerLetter"/>
      <w:start w:val="3"/>
    </w:lvl>
  </w:abstractNum>
  <w:abstractNum w:abstractNumId="5">
    <w:nsid w:val="25E45D32"/>
    <w:multiLevelType w:val="hybridMultilevel"/>
    <w:lvl w:ilvl="0">
      <w:lvlJc w:val="left"/>
      <w:lvlText w:val="%1)"/>
      <w:numFmt w:val="decimal"/>
      <w:start w:val="2"/>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lowerLetter"/>
      <w:start w:val="4"/>
    </w:lvl>
  </w:abstractNum>
  <w:abstractNum w:abstractNumId="10">
    <w:nsid w:val="257130A3"/>
    <w:multiLevelType w:val="hybridMultilevel"/>
    <w:lvl w:ilvl="0">
      <w:lvlJc w:val="left"/>
      <w:lvlText w:val="(%1)"/>
      <w:numFmt w:val="lowerLetter"/>
      <w:start w:val="5"/>
    </w:lvl>
  </w:abstractNum>
  <w:abstractNum w:abstractNumId="11">
    <w:nsid w:val="62BBD95A"/>
    <w:multiLevelType w:val="hybridMultilevel"/>
    <w:lvl w:ilvl="0">
      <w:lvlJc w:val="left"/>
      <w:lvlText w:val="(%1)"/>
      <w:numFmt w:val="lowerLetter"/>
      <w:start w:val="6"/>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2"/>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1)"/>
      <w:numFmt w:val="lowerLetter"/>
      <w:start w:val="1"/>
    </w:lvl>
  </w:abstractNum>
  <w:abstractNum w:abstractNumId="16">
    <w:nsid w:val="2443A858"/>
    <w:multiLevelType w:val="hybridMultilevel"/>
    <w:lvl w:ilvl="0">
      <w:lvlJc w:val="left"/>
      <w:lvlText w:val="(%1)"/>
      <w:numFmt w:val="lowerLetter"/>
      <w:start w:val="2"/>
    </w:lvl>
  </w:abstractNum>
  <w:abstractNum w:abstractNumId="17">
    <w:nsid w:val="2D1D5AE9"/>
    <w:multiLevelType w:val="hybridMultilevel"/>
    <w:lvl w:ilvl="0">
      <w:lvlJc w:val="left"/>
      <w:lvlText w:val="(%1)"/>
      <w:numFmt w:val="lowerLetter"/>
      <w:start w:val="3"/>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lvl w:ilvl="1">
      <w:lvlJc w:val="left"/>
      <w:lvlText w:val="**"/>
      <w:numFmt w:val="bullet"/>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68" Type="http://schemas.openxmlformats.org/officeDocument/2006/relationships/hyperlink" Target="http://www.sec.gov/Archives/edgar/data/1591698/000104746914000931/a2218171zex-3_2.htm" TargetMode="External"/><Relationship Id="rId69" Type="http://schemas.openxmlformats.org/officeDocument/2006/relationships/hyperlink" Target="http://www.sec.gov/Archives/edgar/data/1591698/000155837017006561/pcty-20170630ex321ac616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2019-12-28T18:38:48Z</dcterms:created>
  <dcterms:modified xsi:type="dcterms:W3CDTF">2019-12-28T18:38:48Z</dcterms:modified>
</cp:coreProperties>
</file>